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2026-08-31</w:t>
      </w:r>
    </w:p>
    <w:p>
      <w:pPr>
        <w:jc w:val="center"/>
      </w:pPr>
      <w:r>
        <w:rPr>
          <w:color w:val="808080"/>
          <w:sz w:val="18"/>
        </w:rPr>
        <w:t>생성 모델: claude-sonnet-4-6  |  HIGH+MEDIUM 247건 (해외 123건 / 국내 124건)</w:t>
      </w:r>
    </w:p>
    <w:p/>
    <w:p>
      <w:pPr>
        <w:pStyle w:val="Heading2"/>
      </w:pPr>
      <w:r>
        <w:t>오늘의 핵심</w:t>
      </w:r>
    </w:p>
    <w:p>
      <w:r>
        <w:t>미국이 호르무즈 해협 인근 이란 로켓 발사대와 라라크 섬을 타격하고[8][19], 이란은 미국 드론 격추[2][6] 및 중동 내 미군 기지 공격[10]으로 맞대응하며 한 달 만에 무력 충돌이 재개됐다. 호르무즈 해협 통과 선박 수는 주말 기준 하루 5척 수준으로 급감했으며[29][31], 수퍼탱커가 기뢰에 피격돼 화재가 발생하는 사고도 보고됐다[21][22][23]. 국제유가는 미·이란 교전 재개 소식에 브렌트유 기준 3% 급등해 91달러대를 돌파했고[47][55][61], 뉴욕증시는 일제히 하락 출발했다[56][57]. 부산항발 컨테이너 운임은 5주 연속 상승해 4,591포인트를 기록하며 2024년 8월 이후 최고치를 경신했다[34][36]. 아시아 정유사들은 이란산 원유 공급 교란에 대응해 아르헨티나 등 대체 공급원으로 전환을 모색하고 있으며[82], 국내에서는 중동 전쟁 여파로 비료·에너지 가격 급등이 농촌 경제에 직격탄을 주고 있다는 보도가 나왔다[85].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39 / MEDIUM 86)</w:t>
      </w:r>
    </w:p>
    <w:p>
      <w:r>
        <w:rPr>
          <w:b/>
        </w:rPr>
        <w:t>🌐 해외 상황</w:t>
      </w:r>
    </w:p>
    <w:p>
      <w:r>
        <w:t>미국은 호르무즈 해협을 향해 해상 기뢰를 발사하려던 이란 로켓 발사대를 선제 타격했으며[9], 라라크 섬에 대한 공격도 단행했다[8][50]. 이란 혁명수비대(IRGC)는 미국 MQ-9 드론을 호르무즈 해협 상공에서 격추했다고 밝혔고[2][6], 이후 중동 내 미군 기지를 향해 미사일 공격을 감행했다[10]. 이란은 '오염 무단 방류'를 이유로 호르무즈 해협에서 화물선을 나포하기도 했다[5]. 트럼프 대통령은 이란을 '강하게 타격할 것'이라고 재보복을 예고했으며[11][12], 미국이 이란 에너지 허브를 타격했다는 주장도 제기됐다[7]. EU도 미국의 대이란 제재에 동참하는 방향으로 움직이고 있다는 보도가 나왔다[20].</w:t>
      </w:r>
    </w:p>
    <w:p>
      <w:r>
        <w:rPr>
          <w:b/>
        </w:rPr>
        <w:t>🇰🇷 국내 영향</w:t>
      </w:r>
    </w:p>
    <w:p>
      <w:r>
        <w:t>미·이란 간 한 달 만에 무력 공방이 재개됐다는 사실이 국내 주요 언론에 일제히 보도됐다[16][18][19]. UKMTO는 오만 인근 호르무즈에서 유조선이 피격됐다고 발표했다[17]. 트럼프 대통령의 재보복 예고[11][12][13]와 이란의 동맹국 야간 공격 보도[14]가 이어지며 긴장 수위가 높아지고 있다. 베선트 미 재무장관은 이란이 경제전에서 밀려 군사 공격에 나섰다고 분석했으며, EU의 제재 동참 가능성도 보도됐다[20].</w:t>
      </w:r>
    </w:p>
    <w:p>
      <w:pPr>
        <w:pStyle w:val="Heading3"/>
      </w:pPr>
      <w:r>
        <w:t>해양안전  (HIGH 3 / MEDIUM 4)</w:t>
      </w:r>
    </w:p>
    <w:p>
      <w:r>
        <w:rPr>
          <w:b/>
        </w:rPr>
        <w:t>🌐 해외 상황</w:t>
      </w:r>
    </w:p>
    <w:p>
      <w:r>
        <w:t>이란 혁명수비대는 호르무즈 해협에서 수퍼탱커가 기뢰에 피격됐다고 발표했으며[21][22], 해당 선박은 기뢰 폭발 후 화재가 발생한 것으로 보고됐다[23][24]. 이는 호르무즈 해협 내 해상 기뢰 위협이 실제 선박 피해로 이어진 사례다.</w:t>
      </w:r>
    </w:p>
    <w:p>
      <w:r>
        <w:rPr>
          <w:b/>
        </w:rPr>
        <w:t>🇰🇷 국내 영향</w:t>
      </w:r>
    </w:p>
    <w:p>
      <w:r>
        <w:t>키프로스 앞바다에서 267명이 탑승한 선박이 침몰해 사망 8명, 실종 18명이 발생했다[25]. 질병관리청은 연간 1만 척 선박을 대상으로 검역 위험도 중심으로 전환해 저위험 선박의 신속 입항을 허용하는 방향으로 검역 절차를 개편한다고 밝혔다[26]. 내년부터 여객선에 160Wh 초과 대용량 리튬배터리 반입이 제한될 예정이다[27].</w:t>
      </w:r>
    </w:p>
    <w:p>
      <w:pPr>
        <w:pStyle w:val="Heading3"/>
      </w:pPr>
      <w:r>
        <w:t>운임·물류비  (HIGH 7 / MEDIUM 3)</w:t>
      </w:r>
    </w:p>
    <w:p>
      <w:r>
        <w:rPr>
          <w:b/>
        </w:rPr>
        <w:t>🌐 해외 상황</w:t>
      </w:r>
    </w:p>
    <w:p>
      <w:r>
        <w:t>호르무즈 해협 통과 선박 수는 주말 기준 하루 5척 수준으로 급감했다[29][31]. 미·이란 교전 재개로 원유 공급 차질 우려가 커지며 브렌트유가 91달러를 돌파했다[30][47]. 파나마 운하는 네오파나막스 예약 시스템을 조정했으며[28], 이집트는 수에즈 운하를 정부 부채 상환에 활용하지 않겠다는 입장을 밝혔다[32][33].</w:t>
      </w:r>
    </w:p>
    <w:p>
      <w:r>
        <w:rPr>
          <w:b/>
        </w:rPr>
        <w:t>🇰🇷 국내 영향</w:t>
      </w:r>
    </w:p>
    <w:p>
      <w:r>
        <w:t>부산항발 컨테이너 운임이 5주 연속 상승해 4,591포인트를 기록하며 2024년 8월 이후 최고치를 경신했다[34][36]. 파나마 운하 통항 제한의 영향으로 컨테이너 운임이 연중 최고치를 기록했다는 보도도 나왔다[35]. 건화물 운임도 두 자릿수 급등세를 보였다[34]. 대한항공·아시아나항공은 9월 국제선 유류할증료를 인상하며 장거리 노선 부담이 커질 전망이다[37].</w:t>
      </w:r>
    </w:p>
    <w:p>
      <w:pPr>
        <w:pStyle w:val="Heading3"/>
      </w:pPr>
      <w:r>
        <w:t>항만·화물  (HIGH 0 / MEDIUM 7)</w:t>
      </w:r>
    </w:p>
    <w:p>
      <w:r>
        <w:rPr>
          <w:b/>
        </w:rPr>
        <w:t>🇰🇷 국내 영향</w:t>
      </w:r>
    </w:p>
    <w:p>
      <w:r>
        <w:t>7월 물동량이 전년 대비 12.8% 증가했으며, 비중동 원유 수입이 확대된 것으로 나타났다[39]. 울산항의 7월 물동량은 1,832만 톤을 기록했으며, 액체화물 중심으로 증가세를 보였다[40]. 울산 남신항 2단계 사업은 국비 3,970억 원 확보와 사우디 투자 유치를 모색 중이다[41]. 여수·광양항은 2,000억 원을 투입해 뱃길 직선화 공사를 추진한다[43]. 울산항 등 국내 항만에서는 저위험 선박에 대한 검역 간소화가 시행된다[42].</w:t>
      </w:r>
    </w:p>
    <w:p>
      <w:pPr>
        <w:pStyle w:val="Heading3"/>
      </w:pPr>
      <w:r>
        <w:t>경제·금융  (HIGH 25 / MEDIUM 32)</w:t>
      </w:r>
    </w:p>
    <w:p>
      <w:r>
        <w:rPr>
          <w:b/>
        </w:rPr>
        <w:t>🌐 해외 상황</w:t>
      </w:r>
    </w:p>
    <w:p>
      <w:r>
        <w:t>미·이란 교전 재개 소식에 브렌트유가 91달러를 돌파하며 2% 이상 급등했고[47][50][53], WTI를 포함한 국제유가 전반이 2~3% 상승했다[45][46][51][54]. 아시아 증시와 미국 주가지수 선물도 일제히 하락세를 보였다[49].</w:t>
      </w:r>
    </w:p>
    <w:p>
      <w:r>
        <w:rPr>
          <w:b/>
        </w:rPr>
        <w:t>🇰🇷 국내 영향</w:t>
      </w:r>
    </w:p>
    <w:p>
      <w:r>
        <w:t>국제유가가 브렌트유 기준 3%대 급등해 91달러대를 기록하며 국내 에너지 비용 부담이 커질 가능성이 있다[55][61][62][63]. 뉴욕증시는 미·이란 교전 재개에 다우존스 0.18~0.51% 하락 출발했으며[57][64], 호르무즈 긴장 재고조로 장기금리도 상승했다[58]. 반도체 업종은 선별적 강세를 보인 것으로 보도됐다[58].</w:t>
      </w:r>
    </w:p>
    <w:p>
      <w:pPr>
        <w:pStyle w:val="Heading3"/>
      </w:pPr>
      <w:r>
        <w:t>수산물  (HIGH 0 / MEDIUM 3)</w:t>
      </w:r>
    </w:p>
    <w:p>
      <w:r>
        <w:rPr>
          <w:b/>
        </w:rPr>
        <w:t>🇰🇷 국내 영향</w:t>
      </w:r>
    </w:p>
    <w:p>
      <w:r>
        <w:t>경남 남해안 양식어류의 고수온 피해액이 110억 원을 넘어 지난해의 약 3배 수준에 달하는 것으로 집계됐다[65][66][67].</w:t>
      </w:r>
    </w:p>
    <w:p>
      <w:pPr>
        <w:pStyle w:val="Heading3"/>
      </w:pPr>
      <w:r>
        <w:t>해운  (HIGH 1 / MEDIUM 20)</w:t>
      </w:r>
    </w:p>
    <w:p>
      <w:r>
        <w:rPr>
          <w:b/>
        </w:rPr>
        <w:t>🌐 해외 상황</w:t>
      </w:r>
    </w:p>
    <w:p>
      <w:r>
        <w:t>트럼프 대통령은 호르무즈 해협이 '매우 양호한 상태'이며 하룻밤에 30척이 통과하고 있다고 주장했다[68]. MSC는 JADE 서비스 노선을 바브엘만데브 해협과 수에즈 운하 경유로 업데이트했다[69].</w:t>
      </w:r>
    </w:p>
    <w:p>
      <w:r>
        <w:rPr>
          <w:b/>
        </w:rPr>
        <w:t>🇰🇷 국내 영향</w:t>
      </w:r>
    </w:p>
    <w:p>
      <w:r>
        <w:t>삼성중공업은 4,445억 원 규모 컨테이너선 2척을 추가 수주하며 연간 목표를 초과 달성했다[72][73]. SK오션플랜트는 그리스 선주사로부터 원유운반선 6척, 6,000억 원 규모(옵션 포함 최대 8,000억 원) 계약을 체결했다[74][75][76][77][78][79]. 팬스타 아크로호는 한국 정부 지원 최초 북극 컨테이너선 시험 운항에 진입했다[70].</w:t>
      </w:r>
    </w:p>
    <w:p>
      <w:pPr>
        <w:pStyle w:val="Heading3"/>
      </w:pPr>
      <w:r>
        <w:t>물류  (HIGH 0 / MEDIUM 2)</w:t>
      </w:r>
    </w:p>
    <w:p>
      <w:r>
        <w:rPr>
          <w:b/>
        </w:rPr>
        <w:t>🇰🇷 국내 영향</w:t>
      </w:r>
    </w:p>
    <w:p>
      <w:r>
        <w:t>CJ대한통운은 베트남을 포함한 글로벌 사업 성장의 질을 강조하며 미국·인도 사업에 선택과 집중 전략을 추진하는 방향으로 글로벌 사업을 재편하고 있다[80][81].</w:t>
      </w:r>
    </w:p>
    <w:p>
      <w:pPr>
        <w:pStyle w:val="Heading3"/>
      </w:pPr>
      <w:r>
        <w:t>기타 산업  (HIGH 2 / MEDIUM 13)</w:t>
      </w:r>
    </w:p>
    <w:p>
      <w:r>
        <w:rPr>
          <w:b/>
        </w:rPr>
        <w:t>🌐 해외 상황</w:t>
      </w:r>
    </w:p>
    <w:p>
      <w:r>
        <w:t>아시아 정유사들이 이란 전쟁으로 인한 원유 공급 교란에 대응해 아르헨티나를 대체 공급원으로 활용하는 움직임이 나타나고 있다[82]. 미국은 베네수엘라 석유 650억 배럴에 대한 통제권 협정을 체결했다[83]. 인도 IOC는 서아시아 분쟁 속에서 LPG 생산을 30% 확대했다[84].</w:t>
      </w:r>
    </w:p>
    <w:p>
      <w:r>
        <w:rPr>
          <w:b/>
        </w:rPr>
        <w:t>🇰🇷 국내 영향</w:t>
      </w:r>
    </w:p>
    <w:p>
      <w:r>
        <w:t>중동 전쟁 여파로 비료·에너지 가격이 급등하며 농촌 경제에 직격탄이 되고 있다는 보도가 나왔다[85]. 9월 LPG 수입가격은 프로판 5달러, 부탄 20달러 인상됐으나[90], 국내 LPG 소비자 가격은 환율 하락 등의 영향으로 두 달 연속 동결됐다[91]. 중국이 7월 10일부터 헬륨 수출을 금지한 가운데 한국에 미치는 영향이 주목된다[88]. 곡물·경유·비료값이 동반 상승하며 미국 식품물가 부담도 다시 커지고 있다[89]. 전쟁과 폭염이 겹치며 빵·설탕·코코아 가격도 오르고 있다[94].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1664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77</w:t>
            </w:r>
          </w:p>
        </w:tc>
        <w:tc>
          <w:tcPr>
            <w:tcW w:type="dxa" w:w="2946"/>
          </w:tcPr>
          <w:p>
            <w:r>
              <w:t>4.6%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170</w:t>
            </w:r>
          </w:p>
        </w:tc>
        <w:tc>
          <w:tcPr>
            <w:tcW w:type="dxa" w:w="2946"/>
          </w:tcPr>
          <w:p>
            <w:r>
              <w:t>10.2%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302</w:t>
            </w:r>
          </w:p>
        </w:tc>
        <w:tc>
          <w:tcPr>
            <w:tcW w:type="dxa" w:w="2946"/>
          </w:tcPr>
          <w:p>
            <w:r>
              <w:t>18.1%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1115</w:t>
            </w:r>
          </w:p>
        </w:tc>
        <w:tc>
          <w:tcPr>
            <w:tcW w:type="dxa" w:w="2946"/>
          </w:tcPr>
          <w:p>
            <w:r>
              <w:t>67.0%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