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2026-07-09</w:t>
      </w:r>
    </w:p>
    <w:p>
      <w:pPr>
        <w:jc w:val="center"/>
      </w:pPr>
      <w:r>
        <w:rPr>
          <w:color w:val="808080"/>
          <w:sz w:val="18"/>
        </w:rPr>
        <w:t>생성 모델: claude-sonnet-4-6  |  HIGH+MEDIUM 387건 (해외 222건 / 국내 165건)</w:t>
      </w:r>
    </w:p>
    <w:p/>
    <w:p>
      <w:pPr>
        <w:pStyle w:val="Heading2"/>
      </w:pPr>
      <w:r>
        <w:t>오늘의 핵심</w:t>
      </w:r>
    </w:p>
    <w:p>
      <w:r>
        <w:t>미국과 이란이 사흘째 무력 공방을 이어가며 이란이 요르단 미군 기지를 미사일로 타격하고 미국이 부셰르 원전 주변을 포함한 90여 곳을 공습하는 등 충돌이 격화되고 있다[11][12][14]. 트럼프 대통령이 휴전 파기를 선언하고 신규 공습을 개시하면서 호르무즈 해협 선박 통항이 사실상 정지 수준에 근접했으며[30][31], 카타르는 호르무즈 인근 탱커 공격 이후 LNG 증산 계획을 중단했다[6][83]. 브렌트유는 미·이란 충돌 격화로 배럴당 79~80달러까지 급등하며 3일 연속 상승세를 기록했고[50][51][54], 원/달러 환율은 지정학적 불안 속에 다시 1,500원대를 돌파했다[64]. 오만이 유럽 동맹국에 호르무즈 통과 선박에 통행료 부과 가능성을 통보했으며[23], 이란군은 미국의 공격과 항로 개입이 호르무즈 재개방에 심각한 차질을 유발할 것이라고 경고했다[13]. 한국은 반도체 수출 호조로 월간 수출 1,000억 달러 클럽에 진입했으나[57], 에너지 공급망 불안과 환율 급등이 복합적 리스크로 작용하고 있다.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82 / MEDIUM 102)</w:t>
      </w:r>
    </w:p>
    <w:p>
      <w:r>
        <w:rPr>
          <w:b/>
        </w:rPr>
        <w:t>🌐 해외 상황</w:t>
      </w:r>
    </w:p>
    <w:p>
      <w:r>
        <w:t>미국과 이란은 사흘째 무력 공방을 지속하며 이란이 걸프 지역 미군 기지와 요르단까지 미사일로 타격했고, 미국은 이란 원전 주변 부셰르를 포함한 90여 곳을 공습했다[11][12][14]. 트럼프 대통령은 휴전이 끝났다고 선언하고 신규 공습을 개시했으며, 이란은 공격이 계속될 경우 '분쇄적 대응'을 경고했다[5][8]. 이란군은 미국의 공격과 항로 개입이 호르무즈 재개방에 심각한 차질을 유발할 것이라고 공개 경고했다[13]. 카타르 관리는 미·이란 공습이 양국 간 MOU 핵심 조항을 위태롭게 하고 있다고 밝혔으며[2], 이스라엘 측은 테헤란이 호르무즈에 대한 군사적 강압과 행정적 통제를 병행하고 있다고 분석했다[7]. 트럼프 행정부는 시리아와의 협상을 통해 호르무즈를 우회하는 대안 항로 가능성을 모색 중인 것으로 보도됐다[1].</w:t>
      </w:r>
    </w:p>
    <w:p>
      <w:r>
        <w:rPr>
          <w:b/>
        </w:rPr>
        <w:t>🇰🇷 국내 영향</w:t>
      </w:r>
    </w:p>
    <w:p>
      <w:r>
        <w:t>미·이란 사흘째 무력 공방이 이어지며 원전 주변 피격, 요르단 미사일 타격 등 충돌 범위가 확대되고 있어 한국 언론이 집중 보도하고 있다[11][12][14][15]. 이란군이 호르무즈 재개방 차질 가능성을 공개 경고함에 따라 한국의 중동산 원유·LNG 수입 항로에 대한 불확실성이 고조되고 있다[13][16]. 부셰르 원전 주변 피격 보도는 핵시설 안전 우려를 추가로 자극하고 있으며[17][18][19], 협상 재개 가능성이 '신기루'로 평가되는 상황이다[16].</w:t>
      </w:r>
    </w:p>
    <w:p>
      <w:pPr>
        <w:pStyle w:val="Heading3"/>
      </w:pPr>
      <w:r>
        <w:t>해양안전  (HIGH 1 / MEDIUM 1)</w:t>
      </w:r>
    </w:p>
    <w:p>
      <w:r>
        <w:rPr>
          <w:b/>
        </w:rPr>
        <w:t>🌐 해외 상황</w:t>
      </w:r>
    </w:p>
    <w:p>
      <w:r>
        <w:t>호르무즈 해협 인근에서 피격된 카타르 탱커가 구조를 기다리고 있는 것으로 보도됐다[21]. 파키스탄 당국은 아라비아해 상공에서 보잉 화물기 한 대가 실종돼 수색 작업을 진행 중이다[22].</w:t>
      </w:r>
    </w:p>
    <w:p>
      <w:pPr>
        <w:pStyle w:val="Heading3"/>
      </w:pPr>
      <w:r>
        <w:t>운임·물류비  (HIGH 13 / MEDIUM 4)</w:t>
      </w:r>
    </w:p>
    <w:p>
      <w:r>
        <w:rPr>
          <w:b/>
        </w:rPr>
        <w:t>🌐 해외 상황</w:t>
      </w:r>
    </w:p>
    <w:p>
      <w:r>
        <w:t>미·이란 공습 교환 이후 호르무즈 해협 선박 통항이 사실상 정지 수준에 근접했으며[30][31], 4척의 탱커가 안전 우려로 해협 진입을 포기하고 회항했다[32]. 오만은 유럽 동맹국들에게 호르무즈를 통과하는 선박에 통행료를 부과할 수 있다고 통보했고[23], 선박 보험 수요는 선주들의 불안 심리로 오히려 감소하는 '다크 트렌드'가 심화되고 있다[24][26]. 해운 데이터와 IRGC 발표 간 호르무즈 상황 불일치가 지속되고 있어 실제 통항 현황 파악이 어려운 상태다[28].</w:t>
      </w:r>
    </w:p>
    <w:p>
      <w:r>
        <w:rPr>
          <w:b/>
        </w:rPr>
        <w:t>🇰🇷 국내 영향</w:t>
      </w:r>
    </w:p>
    <w:p>
      <w:r>
        <w:t>홍해 사태 이후 컨테이너 시장이 '선복보다 네트워크' 중심으로 재편되는 구조적 변화가 진행 중이라는 분석이 나왔다[33][34]. 북극항로 컨테이너 운임은 기존 항로 대비 5~30% 높아 대안 항로로서의 경쟁력이 제한적인 것으로 나타났다[35].</w:t>
      </w:r>
    </w:p>
    <w:p>
      <w:pPr>
        <w:pStyle w:val="Heading3"/>
      </w:pPr>
      <w:r>
        <w:t>항만·화물  (HIGH 3 / MEDIUM 7)</w:t>
      </w:r>
    </w:p>
    <w:p>
      <w:r>
        <w:rPr>
          <w:b/>
        </w:rPr>
        <w:t>🌐 해외 상황</w:t>
      </w:r>
    </w:p>
    <w:p>
      <w:r>
        <w:t>카타르는 호르무즈 인근 탱커 공격 이후 LNG 증산 계획을 중단했으며[36][83], 파키스탄은 카타르 공급 차질로 긴급 LNG 화물 확보에 나섰다[37][82]. 인도 선박 난다 데비가 호르무즈를 통과하는 유일한 입항 LPG 선박으로 보도되는 등 다크 트랜짓이 증가하고 있다[38]. 태풍 바비가 대만과 중국을 향해 접근하면서 해당 지역 항만·화물 운영에 차질이 우려된다[41][42][43].</w:t>
      </w:r>
    </w:p>
    <w:p>
      <w:r>
        <w:rPr>
          <w:b/>
        </w:rPr>
        <w:t>🇰🇷 국내 영향</w:t>
      </w:r>
    </w:p>
    <w:p>
      <w:r>
        <w:t>울산항의 선박연료(벙커) 공급량이 석 달 만에 최고 수준을 기록했다[45].</w:t>
      </w:r>
    </w:p>
    <w:p>
      <w:pPr>
        <w:pStyle w:val="Heading3"/>
      </w:pPr>
      <w:r>
        <w:t>경제·금융  (HIGH 14 / MEDIUM 70)</w:t>
      </w:r>
    </w:p>
    <w:p>
      <w:r>
        <w:rPr>
          <w:b/>
        </w:rPr>
        <w:t>🌐 해외 상황</w:t>
      </w:r>
    </w:p>
    <w:p>
      <w:r>
        <w:t>트럼프 대통령의 휴전 파기 선언과 신규 이란 공습 이후 브렌트유가 배럴당 79~80달러까지 급등하며 3일 연속 상승세를 기록했다[50][51][52][54]. 아시아 증시는 유가 급등과 미·이란 충돌 우려로 하락했으나[47][49], 반도체주는 선별적 반등세를 보였다[61][62].</w:t>
      </w:r>
    </w:p>
    <w:p>
      <w:r>
        <w:rPr>
          <w:b/>
        </w:rPr>
        <w:t>🇰🇷 국내 영향</w:t>
      </w:r>
    </w:p>
    <w:p>
      <w:r>
        <w:t>원/달러 환율이 지정학적 불안 속에 다시 1,500원대를 돌파했다[64]. 국제유가는 미·이란 충돌 격화로 5% 급등했으며[58][59], 미 달러화는 강보합세를 유지했다[60]. 한국 반도체 수출 호조로 월간 수출이 1,000억 달러를 돌파하는 성과를 거뒀으나[57], 코스피는 기관 매수에 힘입어 소폭 상승 마감했다[56]. 검찰은 '전쟁 특수'를 노린 26조 원대 유가 담합 혐의로 정유 4사를 기소했다[65].</w:t>
      </w:r>
    </w:p>
    <w:p>
      <w:pPr>
        <w:pStyle w:val="Heading3"/>
      </w:pPr>
      <w:r>
        <w:t>해운  (HIGH 3 / MEDIUM 9)</w:t>
      </w:r>
    </w:p>
    <w:p>
      <w:r>
        <w:rPr>
          <w:b/>
        </w:rPr>
        <w:t>🌐 해외 상황</w:t>
      </w:r>
    </w:p>
    <w:p>
      <w:r>
        <w:t>머스크는 수에즈 운하를 경유하는 중동~미국 노선(MECL 서비스)을 재개하며 홍해 복귀를 확대했다[66][67]. 인도네시아 국영 페르타미나 탱커는 미·이란 긴장 고조 속에서도 호르무즈 해협을 통과해 출항했다[68]. 우크라이나는 아조프해에서 러시아 '그림자 선단' 탱커 8척을 공격했으며[71], 추가 러시아 석유 인프라 타격으로 탱커 화재가 발생했다[87][89].</w:t>
      </w:r>
    </w:p>
    <w:p>
      <w:r>
        <w:rPr>
          <w:b/>
        </w:rPr>
        <w:t>🇰🇷 국내 영향</w:t>
      </w:r>
    </w:p>
    <w:p>
      <w:r>
        <w:t>울산항 선박연료 공급량이 전월 대비 15% 증가하며 석 달 만에 최고치를 기록했다[73]. HMM은 벌크선 초장기 계약설에 대해 '진행 중이나 확정된 내용 없다'고 공식 해명했다[74][75][76]. 북극항로 시범운항은 화주·선사의 수익성 담보 문제로 속도를 내지 못하고 있다[77].</w:t>
      </w:r>
    </w:p>
    <w:p>
      <w:pPr>
        <w:pStyle w:val="Heading3"/>
      </w:pPr>
      <w:r>
        <w:t>물류  (HIGH 0 / MEDIUM 4)</w:t>
      </w:r>
    </w:p>
    <w:p>
      <w:r>
        <w:rPr>
          <w:b/>
        </w:rPr>
        <w:t>🇰🇷 국내 영향</w:t>
      </w:r>
    </w:p>
    <w:p>
      <w:r>
        <w:t>한국과 몽골은 유통·물류 협력 MOU를 체결하고 정부 협의체를 신설했으며[79][80], 한-몽골 비즈니스 포럼에서 700만 달러 규모의 계약이 체결됐다[78]. 포스코와 KB국민은행은 위기에 처한 철강업계 지원을 위해 공급망 금융 협력에 나섰다[81].</w:t>
      </w:r>
    </w:p>
    <w:p>
      <w:pPr>
        <w:pStyle w:val="Heading3"/>
      </w:pPr>
      <w:r>
        <w:t>기타 산업  (HIGH 2 / MEDIUM 72)</w:t>
      </w:r>
    </w:p>
    <w:p>
      <w:r>
        <w:rPr>
          <w:b/>
        </w:rPr>
        <w:t>🌐 해외 상황</w:t>
      </w:r>
    </w:p>
    <w:p>
      <w:r>
        <w:t>카타르의 LNG 증산 중단[83]과 파키스탄의 긴급 LNG 입찰[82]이 이어지는 가운데, 우크라이나 드론 공격으로 러시아가 디젤 수출을 금지하고 석유 인프라 피해가 확대됐다[84][85][87]. ADNOC은 INPEX에 연간 100만 톤 규모의 LNG를 15년간 공급하는 계약을 체결했다[40].</w:t>
      </w:r>
    </w:p>
    <w:p>
      <w:r>
        <w:rPr>
          <w:b/>
        </w:rPr>
        <w:t>🇰🇷 국내 영향</w:t>
      </w:r>
    </w:p>
    <w:p>
      <w:r>
        <w:t>한국과 몽골은 정상회담에서 CEPA를 원칙적으로 타결하고 핵심 광물 협력, AI·에너지 등 21건의 MOU를 체결했다[93][94][97]. 양국은 '황금시대' 공동선언을 채택하며 광물 공급망 및 인적 교류 협력을 강화하기로 했다[96][100].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2687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118</w:t>
            </w:r>
          </w:p>
        </w:tc>
        <w:tc>
          <w:tcPr>
            <w:tcW w:type="dxa" w:w="2946"/>
          </w:tcPr>
          <w:p>
            <w:r>
              <w:t>4.4%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269</w:t>
            </w:r>
          </w:p>
        </w:tc>
        <w:tc>
          <w:tcPr>
            <w:tcW w:type="dxa" w:w="2946"/>
          </w:tcPr>
          <w:p>
            <w:r>
              <w:t>10.0%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317</w:t>
            </w:r>
          </w:p>
        </w:tc>
        <w:tc>
          <w:tcPr>
            <w:tcW w:type="dxa" w:w="2946"/>
          </w:tcPr>
          <w:p>
            <w:r>
              <w:t>11.8%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1983</w:t>
            </w:r>
          </w:p>
        </w:tc>
        <w:tc>
          <w:tcPr>
            <w:tcW w:type="dxa" w:w="2946"/>
          </w:tcPr>
          <w:p>
            <w:r>
              <w:t>73.8%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