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2026-09-14</w:t>
      </w:r>
    </w:p>
    <w:p>
      <w:pPr>
        <w:jc w:val="center"/>
      </w:pPr>
      <w:r>
        <w:rPr>
          <w:color w:val="808080"/>
          <w:sz w:val="18"/>
        </w:rPr>
        <w:t>생성 모델: claude-sonnet-4-6  |  HIGH+MEDIUM 185건 (해외 0건 / 국내 185건)</w:t>
      </w:r>
    </w:p>
    <w:p/>
    <w:p>
      <w:pPr>
        <w:pStyle w:val="Heading2"/>
      </w:pPr>
      <w:r>
        <w:t>오늘의 핵심</w:t>
      </w:r>
    </w:p>
    <w:p>
      <w:r>
        <w:t>이란이 호르무즈 해협 통항 제재 선박을 77척으로 확대하고 한국 선사 선박도 포함시켰으며[8], 호르무즈 통항량이 한 자릿수로 급감했다[1]. 후티 반군은 바브엘만데브 해협 주변 섬과 홍해 요충지 하니시를 추가 점령하며 통제를 강화했고[2][7], 사우디아라비아의 호르무즈 우회 송유관(하루 700만 배럴 규모)은 드론 공격으로 피격돼 최대 6주간 가동 중단이 전망된다[50][52]. 브렌트유는 108~110달러대로 한 달 새 23.71% 급등했으며[5][33], 국제 금융시장에서 코스피 3일 연속 하락, 나스닥 1%대 하락이 나타났다[25][27]. 국내 정유업계는 긴급 소집돼 비중동산 원유 수입 시 운임 차액지원 확대 방침이 마련됐고[18], 산업부는 원유 90% 이상 확보로 단기 영향은 제한적이라고 밝혔다[17].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▼30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▼29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LNG선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해외 항만</w:t>
            </w:r>
          </w:p>
        </w:tc>
        <w:tc>
          <w:tcPr>
            <w:tcW w:type="dxa" w:w="2209"/>
          </w:tcPr>
          <w:p>
            <w:r>
              <w:t>로테르담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한국 항만</w:t>
            </w:r>
          </w:p>
        </w:tc>
        <w:tc>
          <w:tcPr>
            <w:tcW w:type="dxa" w:w="2209"/>
          </w:tcPr>
          <w:p>
            <w:r>
              <w:t>울산항</w:t>
            </w:r>
          </w:p>
        </w:tc>
        <w:tc>
          <w:tcPr>
            <w:tcW w:type="dxa" w:w="2209"/>
          </w:tcPr>
          <w:p>
            <w:r>
              <w:t>1건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  <w:tr>
        <w:tc>
          <w:tcPr>
            <w:tcW w:type="dxa" w:w="2209"/>
          </w:tcPr>
          <w:p>
            <w:r>
              <w:t>한국 항만</w:t>
            </w:r>
          </w:p>
        </w:tc>
        <w:tc>
          <w:tcPr>
            <w:tcW w:type="dxa" w:w="2209"/>
          </w:tcPr>
          <w:p>
            <w:r>
              <w:t>여수항</w:t>
            </w:r>
          </w:p>
        </w:tc>
        <w:tc>
          <w:tcPr>
            <w:tcW w:type="dxa" w:w="2209"/>
          </w:tcPr>
          <w:p>
            <w:r>
              <w:t>1건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석탄</w:t>
            </w:r>
          </w:p>
        </w:tc>
        <w:tc>
          <w:tcPr>
            <w:tcW w:type="dxa" w:w="2209"/>
          </w:tcPr>
          <w:p>
            <w:r>
              <w:t>1건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21 / MEDIUM 37)</w:t>
      </w:r>
    </w:p>
    <w:p>
      <w:r>
        <w:rPr>
          <w:b/>
        </w:rPr>
        <w:t>🌐 해외 상황</w:t>
      </w:r>
    </w:p>
    <w:p>
      <w:r>
        <w:t>이란은 호르무즈 통항 규정 위반 선박 블랙리스트를 77척으로 확대하고 벌금·억류·몰수 조치를 예고했으며 추가 확대 가능성도 시사했다[1][3][6]. 호르무즈 해협 통항량은 한 자릿수로 급감했고[1], 호르무즈 관련 회담은 연기됐다[5]. 후티 반군은 바브엘만데브 해협 주변 섬을 추가 장악해 통제를 강화했으며[2], 홍해 요충지 하니시를 추가 점령해 사우디아라비아가 사면초가에 몰렸다[4][7]. 브렌트유는 108달러대를 기록하며 호르무즈 회담 연기와 후티 공습 주장이 동시에 유가 상승 압력으로 작용했다[5].</w:t>
      </w:r>
    </w:p>
    <w:p>
      <w:r>
        <w:rPr>
          <w:b/>
        </w:rPr>
        <w:t>🇰🇷 국내 영향</w:t>
      </w:r>
    </w:p>
    <w:p>
      <w:r>
        <w:t>이란의 제재 선박 77척 명단에 한국 선사 선박도 포함된 것으로 확인됐다[8]. 이란은 협력 선박도 추가 제재 대상에 올릴 수 있다고 경고해 한국 해운사의 호르무즈 통항 리스크가 높아진 상황이다[10]. 호르무즈 통항 급감과 사우디 우회 송유관 가동 중단이 겹치며 한국의 중동산 원유 도입 경로가 이중으로 차단 압력을 받고 있다[13][14].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티엔에스캐처호 실종자 수색이 사고 13일째 야간 수색으로 이어지고 있으며, 함선 17척이 투입돼 수색 작업을 지속하고 있다[11][12].</w:t>
      </w:r>
    </w:p>
    <w:p>
      <w:pPr>
        <w:pStyle w:val="Heading3"/>
      </w:pPr>
      <w:r>
        <w:t>운임·물류비  (HIGH 2 / MEDIUM 1)</w:t>
      </w:r>
    </w:p>
    <w:p>
      <w:r>
        <w:rPr>
          <w:b/>
        </w:rPr>
        <w:t>🌐 해외 상황</w:t>
      </w:r>
    </w:p>
    <w:p>
      <w:r>
        <w:t>호르무즈 통항 급감과 사우디의 호르무즈 우회 750마일 송유관 일시 폐쇄가 겹치며 원유 공급 경로가 동시에 차단됐다[13][14].</w:t>
      </w:r>
    </w:p>
    <w:p>
      <w:r>
        <w:rPr>
          <w:b/>
        </w:rPr>
        <w:t>🇰🇷 국내 영향</w:t>
      </w:r>
    </w:p>
    <w:p>
      <w:r>
        <w:t>부산발 컨테이너 운임은 4,696포인트를 기록하며 6주 연속 상승 후 보합권에 진입했다[15]. 원유 공급 경로 차단에 따른 운임 추가 상승 압력이 지속될 가능성이 있는 상황이다[13][14].</w:t>
      </w:r>
    </w:p>
    <w:p>
      <w:pPr>
        <w:pStyle w:val="Heading3"/>
      </w:pPr>
      <w:r>
        <w:t>항만·화물  (HIGH 7 / MEDIUM 1)</w:t>
      </w:r>
    </w:p>
    <w:p>
      <w:r>
        <w:rPr>
          <w:b/>
        </w:rPr>
        <w:t>🇰🇷 국내 영향</w:t>
      </w:r>
    </w:p>
    <w:p>
      <w:r>
        <w:t>울산항에서는 호르무즈 우회 원유 물동량이 급증했으며 홍해 불안에 따른 긴장도 여전한 상태다[16]. 여수항 원유 수입단가는 중동발 공급 불안을 원인으로 25% 급등했다[20]. 국내 원유 도입량은 7월 들어 큰 폭으로 증가했으며[19], 정유업계는 긴급 소집돼 비중동산 원유 수입 시 운임 차액지원 확대 방침을 논의했다[18]. 산업부는 원유 90% 이상을 확보해 단기 영향은 제한적이라고 밝혔고[17], 석유협회와 정부·정유업계는 중동발 위기에도 수급대란은 없었다고 평가했다[21][22]. 여수광양항만공사는 중국 닝보저우산항과 협력 방안을 논의했다[23].</w:t>
      </w:r>
    </w:p>
    <w:p>
      <w:pPr>
        <w:pStyle w:val="Heading3"/>
      </w:pPr>
      <w:r>
        <w:t>경제·금융  (HIGH 2 / MEDIUM 41)</w:t>
      </w:r>
    </w:p>
    <w:p>
      <w:r>
        <w:rPr>
          <w:b/>
        </w:rPr>
        <w:t>🌐 해외 상황</w:t>
      </w:r>
    </w:p>
    <w:p>
      <w:r>
        <w:t>글로벌 원유 공급이 4% 감소 위기에 처하며 세계 경제가 격랑 속으로 진입하는 양상이다[24]. 브렌트유는 110.42달러를 기록하며 한 달 새 23.71% 상승했다[33]. 뉴욕증시는 AI 속도조절론과 유가 급등이 겹치며 나스닥이 1.2% 하락했고[27], 미 10년물 국채금리는 5%를 돌파했다[26]. 사우디 송유관 가동 중단발 유가 급등으로 미 달러화가 강세를 보였다[32].</w:t>
      </w:r>
    </w:p>
    <w:p>
      <w:r>
        <w:rPr>
          <w:b/>
        </w:rPr>
        <w:t>🇰🇷 국내 영향</w:t>
      </w:r>
    </w:p>
    <w:p>
      <w:r>
        <w:t>코스피는 '3중 봉쇄'에 따른 유가 급등으로 3일 연속 하락했다[25]. 국제 금융시장의 반도체주 일제 하락이 국내 관련 업종에도 영향을 미칠 가능성이 있다[28].</w:t>
      </w:r>
    </w:p>
    <w:p>
      <w:pPr>
        <w:pStyle w:val="Heading3"/>
      </w:pPr>
      <w:r>
        <w:t>해운  (HIGH 3 / MEDIUM 11)</w:t>
      </w:r>
    </w:p>
    <w:p>
      <w:r>
        <w:rPr>
          <w:b/>
        </w:rPr>
        <w:t>🇰🇷 국내 영향</w:t>
      </w:r>
    </w:p>
    <w:p>
      <w:r>
        <w:t>삼성중공업은 LNG 운반선 4척·원유 운반선 2척 등 총 6척, 1.6조원(약 12억 달러) 규모를 수주했으며[34][35][37], 올해 상선 수주액이 이미 지난해 전체를 넘어섰다[38][39]. 국내 첫 북극항로 시범운항에 나선 팬스타 아크로호가 로테르담에 입항했으며[36], 부산에서는 북극항로를 부산 도약 기회로 삼자는 타운홀 미팅이 열렸다[43]. 조선 빅3에서는 노사갈등이 격화되며 파업 수위가 높아지고 건조 현장에 긴장이 고조되고 있다[41]. 중국 수출 폭주로 자동차 운반선이 부족해지며 차량 150만 대가 컨테이너로 운송되는 상황이 발생했다[42].</w:t>
      </w:r>
    </w:p>
    <w:p>
      <w:pPr>
        <w:pStyle w:val="Heading3"/>
      </w:pPr>
      <w:r>
        <w:t>물류  (HIGH 0 / MEDIUM 4)</w:t>
      </w:r>
    </w:p>
    <w:p>
      <w:r>
        <w:rPr>
          <w:b/>
        </w:rPr>
        <w:t>🇰🇷 국내 영향</w:t>
      </w:r>
    </w:p>
    <w:p>
      <w:r>
        <w:t>코트라는 중동발 물류난 돌파를 위해 수출기업 지원을 1.5배 늘리고 13개국 현지 점검 및 기업지원을 강화한다고 밝혔다[44][47]. 이 대통령은 우즈베키스탄을 시작으로 중앙아시아 5개국 정상외교를 추진하며 핵심광물·공급망 다변화와 한국 기업 진출 확대를 도모하고 있다[45][46].</w:t>
      </w:r>
    </w:p>
    <w:p>
      <w:pPr>
        <w:pStyle w:val="Heading3"/>
      </w:pPr>
      <w:r>
        <w:t>기타 산업  (HIGH 19 / MEDIUM 34)</w:t>
      </w:r>
    </w:p>
    <w:p>
      <w:r>
        <w:rPr>
          <w:b/>
        </w:rPr>
        <w:t>🌐 해외 상황</w:t>
      </w:r>
    </w:p>
    <w:p>
      <w:r>
        <w:t>사우디아라비아의 핵심 송유관(하루 700만 배럴 규모)이 드론 공격을 받아 완전 복구까지 최대 6주가 걸릴 것으로 전망된다[50][52]. 복구 기간은 3~5주에서 최대 6주로 다양하게 보도됐다[48][49][51][53][54][55]. 사우디 송유관 폐쇄로 브렌트유는 108달러대로 급등했다[56][57].</w:t>
      </w:r>
    </w:p>
    <w:p>
      <w:r>
        <w:rPr>
          <w:b/>
        </w:rPr>
        <w:t>🇰🇷 국내 영향</w:t>
      </w:r>
    </w:p>
    <w:p>
      <w:r>
        <w:t>사우디 핵심 송유관 가동 중단으로 원유 공급이 급감하며 국제유가 고공행진이 이어지고 있어[57] 한국의 원유 수입 비용 상승 압력이 가중되고 있다.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54</w:t>
            </w:r>
          </w:p>
        </w:tc>
        <w:tc>
          <w:tcPr>
            <w:tcW w:type="dxa" w:w="2946"/>
          </w:tcPr>
          <w:p>
            <w:r>
              <w:t>3.7%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131</w:t>
            </w:r>
          </w:p>
        </w:tc>
        <w:tc>
          <w:tcPr>
            <w:tcW w:type="dxa" w:w="2946"/>
          </w:tcPr>
          <w:p>
            <w:r>
              <w:t>8.9%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240</w:t>
            </w:r>
          </w:p>
        </w:tc>
        <w:tc>
          <w:tcPr>
            <w:tcW w:type="dxa" w:w="2946"/>
          </w:tcPr>
          <w:p>
            <w:r>
              <w:t>16.2%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1053</w:t>
            </w:r>
          </w:p>
        </w:tc>
        <w:tc>
          <w:tcPr>
            <w:tcW w:type="dxa" w:w="2946"/>
          </w:tcPr>
          <w:p>
            <w:r>
              <w:t>71.2%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