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해상 공급망 모니터링 일일 분석 — 2026-04-20</w:t>
      </w:r>
    </w:p>
    <w:p>
      <w:pPr>
        <w:jc w:val="center"/>
      </w:pPr>
      <w:r>
        <w:rPr>
          <w:color w:val="808080"/>
          <w:sz w:val="18"/>
        </w:rPr>
        <w:t>생성 모델: claude-sonnet-4-6  |  HIGH+MEDIUM 672건 (해외 296건 / 국내 376건)</w:t>
      </w:r>
    </w:p>
    <w:p/>
    <w:p>
      <w:pPr>
        <w:pStyle w:val="Heading2"/>
      </w:pPr>
      <w:r>
        <w:t>오늘의 핵심</w:t>
      </w:r>
    </w:p>
    <w:p>
      <w:r>
        <w:t>미 해군이 호르무즈 해협 인근에서 이란 화물선에 발포 후 나포(USS Spruance 작전)하면서 해협 통항이 사실상 중단 수준에 이르렀으며, 이란은 미 군함에 드론 보복 공격을 감행하고 2차 협상 불참을 시사해 긴장이 최고조에 달했다. 미군은 호르무즈 해협 내 기뢰를 드론으로 제거 중이라고 밝혔으며, 쿠웨이트는 호르무즈 봉쇄를 이유로 원유 수출 불가항력(Force Majeure)을 선언했다. 국제유가는 미-이란 긴장 재점화로 WTI 선물이 7% 이상, 브렌트유가 6~7% 급등하며 95달러를 돌파하고 100달러에 근접했으며, 글로벌 주식시장은 S&amp;P 500·나스닥·다우 모두 하락했다. 한국 정부는 인도에 나프타 확보를 요청하고 한-인도 나프타·LNG 공급망 협력 강화를 위한 MOU 20건을 체결하는 등 공급망 다변화에 나섰으며, 이란 전쟁 50일간 원유 5억 배럴 차질이 사상 최대 수준으로 보고되었다. 호르무즈 해협에서 첫 한국행 유조선이 출항하는 등 제한적 통항이 간헐적으로 재개되고 있으나, 전반적인 해협 상황은 여전히 불안정한 상태로 보인다.</w:t>
      </w:r>
    </w:p>
    <w:p/>
    <w:p>
      <w:pPr>
        <w:pStyle w:val="Heading2"/>
      </w:pPr>
      <w:r>
        <w:t>카테고리별 분석</w:t>
      </w:r>
    </w:p>
    <w:p>
      <w:pPr>
        <w:pStyle w:val="Heading3"/>
      </w:pPr>
      <w:r>
        <w:t>안보·군사  (HIGH 210 / MEDIUM 185)</w:t>
      </w:r>
    </w:p>
    <w:p>
      <w:r>
        <w:rPr>
          <w:b/>
        </w:rPr>
        <w:t>🌐 해외 상황</w:t>
      </w:r>
    </w:p>
    <w:p>
      <w:r>
        <w:t>미 해군은 USS Spruance를 통해 호르무즈 해협 인근에서 이란 화물선에 발포(기관실에 구멍)하고 나포하는 작전을 수행했으며, 트럼프 대통령이 이를 직접 확인했다. 나포된 이란 선박은 미국이 이중용도(dual-use) 장비를 운반 중인 것으로 판단한 것으로 알려졌다. 이란은 미 군함에 드론 보복 공격을 감행하고 지속적인 군사 대응을 예고했으며, 미국의 봉쇄 해제 없이는 협상에 참여하지 않겠다고 밝혔다. 미군은 호르무즈 해협 내 기뢰를 드론으로 제거 중이며 수일 내 완료 예정이라고 발표했고, 선박 나포로 인해 계획된 미-이란 회담도 불투명해졌다.</w:t>
      </w:r>
    </w:p>
    <w:p>
      <w:r>
        <w:rPr>
          <w:b/>
        </w:rPr>
        <w:t>🇰🇷 국내 영향</w:t>
      </w:r>
    </w:p>
    <w:p>
      <w:r>
        <w:t>호르무즈 해협이 사실상 전투 구역화되면서 한국 언론은 '일촉즉발' 상황으로 보도하고 있으며, 24시간 내 통과한 유조선이 1대에 불과할 정도로 한국행 원유 수송이 극도로 제한되었다. 미군의 기뢰 제거 작업이 수일 내 완료 예정이라고 밝혀졌으나, 이란의 드론 보복 공격 지속 예고로 해협 안전 확보 여부는 불확실한 상태로 보인다. 이란의 2차 협상 불참 시사로 외교적 해결 가능성이 낮아지면서 한국의 중동 원유 수입 차질이 장기화될 가능성이 있다.</w:t>
      </w:r>
    </w:p>
    <w:p>
      <w:pPr>
        <w:pStyle w:val="Heading3"/>
      </w:pPr>
      <w:r>
        <w:t>운임·물류비  (HIGH 8 / MEDIUM 5)</w:t>
      </w:r>
    </w:p>
    <w:p>
      <w:r>
        <w:rPr>
          <w:b/>
        </w:rPr>
        <w:t>🌐 해외 상황</w:t>
      </w:r>
    </w:p>
    <w:p>
      <w:r>
        <w:t>호르무즈 해협 통항이 미군의 이란 선박 나포 이후 사실상 중단(standstill) 수준에 이르렀으며, 전쟁 위험 보험료(war risk insurance rates)가 상승했다. 다만 토요일 기준 20척 이상의 선박이 해협을 통과해 3월 1일 이후 가장 바쁜 날을 기록하는 등 간헐적 통항은 이루어지고 있는 것으로 보인다. 화물 및 연료 비용 급등이 글로벌 채소 수입에 압박을 가하고 있으며, 해운 운임은 '더 오래 높게(higher for longer)' 유지될 것이라는 전망이 나왔다. 유가는 미-이란 교착 상태 속에 6% 이상 상승했다.</w:t>
      </w:r>
    </w:p>
    <w:p>
      <w:r>
        <w:rPr>
          <w:b/>
        </w:rPr>
        <w:t>🇰🇷 국내 영향</w:t>
      </w:r>
    </w:p>
    <w:p>
      <w:r>
        <w:t>인천 여객선 유류할증료가 중동 여파로 인상되었으며, 이로 인해 지자체 재정 부담이 커지고 있다. NH투자증권은 가스선 운임 강세를 전망하며 HD현대중공업의 수혜를 기대한다고 밝혔다. 호르무즈 해협 통항 위험이 심각한 수준으로 평가되면서 한국행 유조선 운항이 극도로 제한되고 있으며, 운임 및 보험료 상승이 한국 수입 비용 증가로 이어질 가능성이 있다.</w:t>
      </w:r>
    </w:p>
    <w:p>
      <w:pPr>
        <w:pStyle w:val="Heading3"/>
      </w:pPr>
      <w:r>
        <w:t>항만·화물  (HIGH 28 / MEDIUM 1)</w:t>
      </w:r>
    </w:p>
    <w:p>
      <w:r>
        <w:rPr>
          <w:b/>
        </w:rPr>
        <w:t>🇰🇷 국내 영향</w:t>
      </w:r>
    </w:p>
    <w:p>
      <w:r>
        <w:t>쿠웨이트가 호르무즈 봉쇄를 이유로 원유 수출 불가항력(Force Majeure)을 선언하면서 한국의 쿠웨이트산 원유 수입에 직접적인 차질이 발생했다. 한국 정부는 5위 수입국인 인도에 나프타 확보를 요청하고, 한-인도 나프타·LNG 공급망 협력 강화를 위한 후속 조치를 추진 중이다. 쿠웨이트의 불가항력 선언은 단순 수송 차질을 넘어 생산량 감소까지 동반한 것으로 보도되어, 한국의 중동산 원유 수급 불안이 심화되고 있다.</w:t>
      </w:r>
    </w:p>
    <w:p>
      <w:pPr>
        <w:pStyle w:val="Heading3"/>
      </w:pPr>
      <w:r>
        <w:t>경제·금융  (HIGH 48 / MEDIUM 71)</w:t>
      </w:r>
    </w:p>
    <w:p>
      <w:r>
        <w:rPr>
          <w:b/>
        </w:rPr>
        <w:t>🌐 해외 상황</w:t>
      </w:r>
    </w:p>
    <w:p>
      <w:r>
        <w:t>미군의 이란 화물선 나포 소식에 S&amp;P 500·나스닥·다우 지수가 일제히 하락했으며, 국제유가는 미-이란 긴장 재점화로 6~7% 급등했다. 브렌트유는 95달러를 돌파했으며 WTI 선물은 7% 이상 급등해 100달러에 근접한 것으로 보인다. 글로벌 시장은 미-이란 휴전 불확실성과 호르무즈 해협 교착 상태에 따른 충격을 반영하고 있으며, 일부 투자자들은 중동 전쟁의 경제적 영향이 과소평가되고 있다고 경고했다.</w:t>
      </w:r>
    </w:p>
    <w:p>
      <w:r>
        <w:rPr>
          <w:b/>
        </w:rPr>
        <w:t>🇰🇷 국내 영향</w:t>
      </w:r>
    </w:p>
    <w:p>
      <w:r>
        <w:t>국제유가 급등(브렌트유 95달러 돌파, WTI 7% 이상 급등)에 따라 국내 유가 상승 압력이 커지고 있으며, 주가도 하락 압력을 받고 있다. 달러-원 환율은 뉴욕 시장에서 1,470원 초반대에서 거래되었으며, 중동 불안 속에서도 일시적으로 숨을 돌린 것으로 보인다. 뉴욕증시는 호르무즈 재봉쇄 소식에 혼조 출발했으며, 일부 전문가는 중동 전쟁의 경제적 충격이 혹독할 것이라고 경고해 한국 금융시장의 변동성 확대 가능성이 있다.</w:t>
      </w:r>
    </w:p>
    <w:p>
      <w:pPr>
        <w:pStyle w:val="Heading3"/>
      </w:pPr>
      <w:r>
        <w:t>해운  (HIGH 6 / MEDIUM 12)</w:t>
      </w:r>
    </w:p>
    <w:p>
      <w:r>
        <w:rPr>
          <w:b/>
        </w:rPr>
        <w:t>🌐 해외 상황</w:t>
      </w:r>
    </w:p>
    <w:p>
      <w:r>
        <w:t>호르무즈 해협에서 탈출한 유조선 1척이 한국 HD현대오일뱅크를 목적지로 항행 중인 것이 선박 데이터를 통해 확인되었다. 토요일 기준 20척 이상의 선박이 해협을 통과했으며, 일부 글로벌 화주들은 모로코 탕헤르 메드 항구로 우회 경로를 전환하고 있다. 파키스탄에는 호르무즈 긴장에도 불구하고 유조선이 계속 입항하고 있으며, 말레이시아도 두 번째 유조선 도착을 기다리고 있는 것으로 보인다.</w:t>
      </w:r>
    </w:p>
    <w:p>
      <w:r>
        <w:rPr>
          <w:b/>
        </w:rPr>
        <w:t>🇰🇷 국내 영향</w:t>
      </w:r>
    </w:p>
    <w:p>
      <w:r>
        <w:t>호르무즈 해협 봉쇄 이후 수 주 만에 처음으로 한국행 유조선이 해협을 통과해 출항했으며, 유럽 크루즈선 5척도 해협을 통과하는 데 성공했다. 진해 케이조선은 석유화학제품운반선 4척을 수주했으며, 하나증권은 팬오션에 대해 전쟁 이후 원자재 수요 기대 및 기회 요인을 감안할 때 하방 위험이 제한적이라고 평가했다. 이재명 대통령은 한-인도 공동 건조 선박의 항해를 기대한다고 밝혔으며, 한-인도 조선·해양 협력도 강화되고 있다.</w:t>
      </w:r>
    </w:p>
    <w:p>
      <w:pPr>
        <w:pStyle w:val="Heading3"/>
      </w:pPr>
      <w:r>
        <w:t>물류  (HIGH 0 / MEDIUM 12)</w:t>
      </w:r>
    </w:p>
    <w:p>
      <w:r>
        <w:rPr>
          <w:b/>
        </w:rPr>
        <w:t>🇰🇷 국내 영향</w:t>
      </w:r>
    </w:p>
    <w:p>
      <w:r>
        <w:t>이재용·정의선·구광모·장인화 등 주요 재계 총수들이 인도를 방문해 공급망 협력을 본격화했으며, 한-인도 간 MOU 20건이 체결되고 500억 달러 교역 목표가 제시되었다. 현대차·포스코·HD현대는 인도에서 자동차·철강·조선 분야 투자 협약을 체결했으며, 차이나+1 전략의 핵심 거점으로 인도를 공략하는 움직임이 가속화되고 있다. 한편 물류 이송 차질로 편의점 곳곳이 마비되는 상황이 발생해 점주들의 피해 호소가 이어지고 있다.</w:t>
      </w:r>
    </w:p>
    <w:p>
      <w:pPr>
        <w:pStyle w:val="Heading3"/>
      </w:pPr>
      <w:r>
        <w:t>항만혼잡  (HIGH 0 / MEDIUM 1)</w:t>
      </w:r>
    </w:p>
    <w:p>
      <w:r>
        <w:rPr>
          <w:b/>
        </w:rPr>
        <w:t>🌐 해외 상황</w:t>
      </w:r>
    </w:p>
    <w:p>
      <w:r>
        <w:t>파키스탄 인근 호르무즈 해협에 LNG 선박 3척이 발이 묶여 파키스탄이 전력 부족 사태에 직면한 것으로 보도되었다.</w:t>
      </w:r>
    </w:p>
    <w:p>
      <w:r>
        <w:rPr>
          <w:b/>
        </w:rPr>
        <w:t>🇰🇷 국내 영향</w:t>
      </w:r>
    </w:p>
    <w:p>
      <w:r>
        <w:t>LNG 선박의 호르무즈 해협 통항 차질은 한국의 LNG 수입에도 유사한 위험을 초래할 가능성이 있으며, 한-인도 LNG 공급망 협력 강화가 이에 대한 대응책으로 추진되고 있는 것으로 보인다.</w:t>
      </w:r>
    </w:p>
    <w:p>
      <w:pPr>
        <w:pStyle w:val="Heading3"/>
      </w:pPr>
      <w:r>
        <w:t>기타 산업  (HIGH 21 / MEDIUM 55)</w:t>
      </w:r>
    </w:p>
    <w:p>
      <w:r>
        <w:rPr>
          <w:b/>
        </w:rPr>
        <w:t>🌐 해외 상황</w:t>
      </w:r>
    </w:p>
    <w:p>
      <w:r>
        <w:t>이란 전쟁 관련 비료 원료 공급 차질로 밀 가격이 상승하고 있으며, 아시아 에너지 위기가 지속되고 있다는 분석이 나왔다. 호르무즈 해협이 재개되더라도 원유 흐름 회복에는 상당한 시간이 걸릴 것이라는 전망이 제기되었으며, 인도 부동산 개발업체들은 중동 공급 차질로 프로젝트 재설계와 계약 재협상을 강요받고 있다. 중국은 연료 수출을 줄이고 있으나 완전히 중단하지는 않은 것으로 나타났다.</w:t>
      </w:r>
    </w:p>
    <w:p>
      <w:r>
        <w:rPr>
          <w:b/>
        </w:rPr>
        <w:t>🇰🇷 국내 영향</w:t>
      </w:r>
    </w:p>
    <w:p>
      <w:r>
        <w:t>이란 전쟁 50일간 원유 5억 배럴 차질이 사상 최대 수준으로 보고되었으며, 비료 원료인 요소 가격이 2배 폭등해 관련 업계의 피해가 심각한 것으로 나타났다. 한국 화학 기업들은 중동 긴장 속 공급망 안정을 위한 지원을 약속했으며, 한-인도 간 나프타·석유화학 원료 안정 공급 체계 구축이 추진되고 있다. 한-인도는 제조·AI·에너지 등 분야에서 '경제동맹' 수준의 협력을 본격화하고 있으며, 이는 중동 리스크 대응을 위한 공급망 다변화 전략의 일환으로 보인다.</w:t>
      </w:r>
    </w:p>
    <w:p>
      <w:r>
        <w:br w:type="page"/>
      </w:r>
    </w:p>
    <w:p>
      <w:pPr>
        <w:pStyle w:val="Heading2"/>
      </w:pPr>
      <w:r>
        <w:t>통계 요약</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rPr>
              <w:t>구분</w:t>
            </w:r>
          </w:p>
        </w:tc>
        <w:tc>
          <w:tcPr>
            <w:tcW w:type="dxa" w:w="2946"/>
          </w:tcPr>
          <w:p>
            <w:r>
              <w:rPr>
                <w:b/>
              </w:rPr>
              <w:t>건수</w:t>
            </w:r>
          </w:p>
        </w:tc>
        <w:tc>
          <w:tcPr>
            <w:tcW w:type="dxa" w:w="2946"/>
          </w:tcPr>
          <w:p>
            <w:r>
              <w:rPr>
                <w:b/>
              </w:rPr>
              <w:t>비중</w:t>
            </w:r>
          </w:p>
        </w:tc>
      </w:tr>
      <w:tr>
        <w:tc>
          <w:tcPr>
            <w:tcW w:type="dxa" w:w="2946"/>
          </w:tcPr>
          <w:p>
            <w:r>
              <w:t>총 수집</w:t>
            </w:r>
          </w:p>
        </w:tc>
        <w:tc>
          <w:tcPr>
            <w:tcW w:type="dxa" w:w="2946"/>
          </w:tcPr>
          <w:p>
            <w:r>
              <w:t>2246</w:t>
            </w:r>
          </w:p>
        </w:tc>
        <w:tc>
          <w:tcPr>
            <w:tcW w:type="dxa" w:w="2946"/>
          </w:tcPr>
          <w:p>
            <w:r>
              <w:t>100.0%</w:t>
            </w:r>
          </w:p>
        </w:tc>
      </w:tr>
      <w:tr>
        <w:tc>
          <w:tcPr>
            <w:tcW w:type="dxa" w:w="2946"/>
          </w:tcPr>
          <w:p>
            <w:r>
              <w:t>HIGH</w:t>
            </w:r>
          </w:p>
        </w:tc>
        <w:tc>
          <w:tcPr>
            <w:tcW w:type="dxa" w:w="2946"/>
          </w:tcPr>
          <w:p>
            <w:r>
              <w:t>321</w:t>
            </w:r>
          </w:p>
        </w:tc>
        <w:tc>
          <w:tcPr>
            <w:tcW w:type="dxa" w:w="2946"/>
          </w:tcPr>
          <w:p>
            <w:r>
              <w:t>14.3%</w:t>
            </w:r>
          </w:p>
        </w:tc>
      </w:tr>
      <w:tr>
        <w:tc>
          <w:tcPr>
            <w:tcW w:type="dxa" w:w="2946"/>
          </w:tcPr>
          <w:p>
            <w:r>
              <w:t>MEDIUM</w:t>
            </w:r>
          </w:p>
        </w:tc>
        <w:tc>
          <w:tcPr>
            <w:tcW w:type="dxa" w:w="2946"/>
          </w:tcPr>
          <w:p>
            <w:r>
              <w:t>351</w:t>
            </w:r>
          </w:p>
        </w:tc>
        <w:tc>
          <w:tcPr>
            <w:tcW w:type="dxa" w:w="2946"/>
          </w:tcPr>
          <w:p>
            <w:r>
              <w:t>15.6%</w:t>
            </w:r>
          </w:p>
        </w:tc>
      </w:tr>
      <w:tr>
        <w:tc>
          <w:tcPr>
            <w:tcW w:type="dxa" w:w="2946"/>
          </w:tcPr>
          <w:p>
            <w:r>
              <w:t>LOW</w:t>
            </w:r>
          </w:p>
        </w:tc>
        <w:tc>
          <w:tcPr>
            <w:tcW w:type="dxa" w:w="2946"/>
          </w:tcPr>
          <w:p>
            <w:r>
              <w:t>365</w:t>
            </w:r>
          </w:p>
        </w:tc>
        <w:tc>
          <w:tcPr>
            <w:tcW w:type="dxa" w:w="2946"/>
          </w:tcPr>
          <w:p>
            <w:r>
              <w:t>16.3%</w:t>
            </w:r>
          </w:p>
        </w:tc>
      </w:tr>
      <w:tr>
        <w:tc>
          <w:tcPr>
            <w:tcW w:type="dxa" w:w="2946"/>
          </w:tcPr>
          <w:p>
            <w:r>
              <w:t>NONE</w:t>
            </w:r>
          </w:p>
        </w:tc>
        <w:tc>
          <w:tcPr>
            <w:tcW w:type="dxa" w:w="2946"/>
          </w:tcPr>
          <w:p>
            <w:r>
              <w:t>1209</w:t>
            </w:r>
          </w:p>
        </w:tc>
        <w:tc>
          <w:tcPr>
            <w:tcW w:type="dxa" w:w="2946"/>
          </w:tcPr>
          <w:p>
            <w:r>
              <w:t>53.8%</w:t>
            </w:r>
          </w:p>
        </w:tc>
      </w:tr>
    </w:tbl>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