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2026-04-02</w:t>
      </w:r>
    </w:p>
    <w:p>
      <w:pPr>
        <w:jc w:val="center"/>
      </w:pPr>
      <w:r>
        <w:rPr>
          <w:color w:val="808080"/>
          <w:sz w:val="18"/>
        </w:rPr>
        <w:t>생성 모델: claude-sonnet-4-6  |  HIGH+MEDIUM 774건 (해외 308건 / 국내 466건)</w:t>
      </w:r>
    </w:p>
    <w:p/>
    <w:p>
      <w:pPr>
        <w:pStyle w:val="Heading2"/>
      </w:pPr>
      <w:r>
        <w:t>오늘의 핵심</w:t>
      </w:r>
    </w:p>
    <w:p>
      <w:r>
        <w:t>호르무즈 해협 봉쇄가 지속되는 가운데 영국 주도로 40여개국 외무장관이 해협 개방을 논의하고 있으며 한국도 참여했다. 트럼프 대통령이 향후 2~3주 내 이란을 '극도로 강하게' 타격하겠다고 경고하면서 국제유가가 배럴당 110달러에 근접하고 아시아 증시가 급락했다. 한국 정부는 4월 대체 원유 약 5천만 배럴을 확보했으나 원유 위기경보가 '경계' 단계로 격상되고 공공기관 차량 2부제가 시행됐다. 해운 운임은 5배 급등했으며 정상화까지 최대 2년이 걸릴 것이라는 전망이 나왔고, IEA 사무총장은 4월 석유 공급 차질이 3월의 2배에 달할 것으로 경고했다.</w:t>
      </w:r>
    </w:p>
    <w:p/>
    <w:p>
      <w:pPr>
        <w:pStyle w:val="Heading2"/>
      </w:pPr>
      <w:r>
        <w:t>카테고리별 분석</w:t>
      </w:r>
    </w:p>
    <w:p>
      <w:pPr>
        <w:pStyle w:val="Heading3"/>
      </w:pPr>
      <w:r>
        <w:t>안보·군사  (HIGH 138 / MEDIUM 251)</w:t>
      </w:r>
    </w:p>
    <w:p>
      <w:r>
        <w:rPr>
          <w:b/>
        </w:rPr>
        <w:t>🌐 해외 상황</w:t>
      </w:r>
    </w:p>
    <w:p>
      <w:r>
        <w:t>영국이 40여개국을 모아 호르무즈 해협 재개방을 논의하는 회의를 소집했으며, 유엔은 중동 전쟁 확산을 경고했다. 트럼프 대통령은 향후 2~3주 내 이란을 극도로 강하게 타격하겠다는 다음 단계 군사 행동을 발표했고, 이란이 봉쇄를 유지할 경우 추가 제재 가능성도 제기됐다. 이란은 호르무즈 해협에 사실상 '통행료 시스템'을 운영 중인 것으로 알려졌으며, 이라크는 유조차를 이용한 육로 석유 수출을 시작해 해협 우회를 시도하고 있다. 트럼프 대통령은 동맹국들에게 호르무즈 해협을 군사적으로 장악할 것을 촉구하면서 미국의 역할 축소를 시사했다.</w:t>
      </w:r>
    </w:p>
    <w:p>
      <w:r>
        <w:rPr>
          <w:b/>
        </w:rPr>
        <w:t>🇰🇷 국내 영향</w:t>
      </w:r>
    </w:p>
    <w:p>
      <w:r>
        <w:t>트럼프 대통령이 한국을 호르무즈 사태에서 '도움이 되지 않는다'고 직접 비판해 외교적 압박이 가중되고 있다. 한국도 40여개국 외무장관 회의에 참여해 호르무즈 개방 논의에 동참했다. 북한은 3번째 최현급 구축함 건조가 진행 중인 것으로 알려져 한반도 안보 상황도 복합적으로 전개되고 있다.</w:t>
      </w:r>
    </w:p>
    <w:p>
      <w:pPr>
        <w:pStyle w:val="Heading3"/>
      </w:pPr>
      <w:r>
        <w:t>해양안전  (HIGH 2 / MEDIUM 2)</w:t>
      </w:r>
    </w:p>
    <w:p>
      <w:r>
        <w:rPr>
          <w:b/>
        </w:rPr>
        <w:t>🌐 해외 상황</w:t>
      </w:r>
    </w:p>
    <w:p>
      <w:r>
        <w:t>IMO는 호르무즈 해협에 선원 2만 명이 발이 묶여 있다고 밝혔다. 리비아 해역에서는 손상된 러시아 유조선 Arctic Metagaz의 예인 작업이 기상 악화로 실패했으며, 리비아 당국은 해당 선박이 통제 불능 상태라고 경고했다.</w:t>
      </w:r>
    </w:p>
    <w:p>
      <w:r>
        <w:rPr>
          <w:b/>
        </w:rPr>
        <w:t>🇰🇷 국내 영향</w:t>
      </w:r>
    </w:p>
    <w:p>
      <w:r>
        <w:t>한국 선원들도 호르무즈 해협에 기약 없이 대기 중이며 무서움을 호소하고 있다는 단독 보도가 나왔다. 호르무즈 해협에 묶인 원유 1,800만 톤에 대한 환경 재앙 경고 수위도 높아지고 있는 것으로 보인다.</w:t>
      </w:r>
    </w:p>
    <w:p>
      <w:pPr>
        <w:pStyle w:val="Heading3"/>
      </w:pPr>
      <w:r>
        <w:t>운임·물류비  (HIGH 5 / MEDIUM 10)</w:t>
      </w:r>
    </w:p>
    <w:p>
      <w:r>
        <w:rPr>
          <w:b/>
        </w:rPr>
        <w:t>🌐 해외 상황</w:t>
      </w:r>
    </w:p>
    <w:p>
      <w:r>
        <w:t>호르무즈 위기로 해운 운임이 5배 급등했다. 뭄바이 무역업체들은 걸프 지역 긴장 고조로 비용 상승과 선적 지연에 시달리고 있으며, 카자흐스탄과 중국은 트랜스카스피안 루트를 통한 대안 운송을 확대하기로 했다. 중국 항공사들은 국내선 유류할증료를 인상할 예정이며, 미국 트럭 운임은 4개월 연속 상승했다.</w:t>
      </w:r>
    </w:p>
    <w:p>
      <w:r>
        <w:rPr>
          <w:b/>
        </w:rPr>
        <w:t>🇰🇷 국내 영향</w:t>
      </w:r>
    </w:p>
    <w:p>
      <w:r>
        <w:t>이란의 호르무즈 '통행료 시스템' 현실화로 TK(대구·경북) 산업이 유가와 물류비 이중 충격을 받고 있다. 뉴욕행 유류할증료가 왕복 100만 원에 달하며 다음 달 추가 인상이 예고됐고, 유류할증료는 역대 최고치인 33단계에 근접했다. 호르무즈 통항이 재개되더라도 정상화까지 최대 2년이 걸릴 것이라는 전망이 나왔다.</w:t>
      </w:r>
    </w:p>
    <w:p>
      <w:pPr>
        <w:pStyle w:val="Heading3"/>
      </w:pPr>
      <w:r>
        <w:t>항만·화물  (HIGH 11 / MEDIUM 4)</w:t>
      </w:r>
    </w:p>
    <w:p>
      <w:r>
        <w:rPr>
          <w:b/>
        </w:rPr>
        <w:t>🌐 해외 상황</w:t>
      </w:r>
    </w:p>
    <w:p>
      <w:r>
        <w:t>LNG 유조선 3척이 전쟁 발발 이후 처음으로 호르무즈 해협을 통과했다. LPG 운반선 Pine Gas는 호르무즈를 경유해 인도 비자그 항에 입항할 예정이다. 한국은 4월 대체 원유 5천만 배럴을 확보했다고 해외 매체도 보도했다. 방글라데시 동부 정유소는 연료 공급 위기로 임시 가동 중단에 근접한 상태다.</w:t>
      </w:r>
    </w:p>
    <w:p>
      <w:r>
        <w:rPr>
          <w:b/>
        </w:rPr>
        <w:t>🇰🇷 국내 영향</w:t>
      </w:r>
    </w:p>
    <w:p>
      <w:r>
        <w:t>한국 정부와 정유업계는 미국산 원유 도입 확대에 주력하고 있으며, 정부는 4월 대체 원유 약 5천만 배럴을 확보했다. 호주도 LNG 수출을 제한하고 내수 시장을 우선시하면서 한국의 에너지 안보에 빨간불이 켜졌다. 한국석유공사가 비축유 우선매수권을 행사하지 않아 90만 배럴을 날렸다는 논란이 제기됐으며, 부산항만공사는 중동 리스크 장기화에 대비해 부산항 운영 점검에 나섰다.</w:t>
      </w:r>
    </w:p>
    <w:p>
      <w:pPr>
        <w:pStyle w:val="Heading3"/>
      </w:pPr>
      <w:r>
        <w:t>경제·금융  (HIGH 13 / MEDIUM 212)</w:t>
      </w:r>
    </w:p>
    <w:p>
      <w:r>
        <w:rPr>
          <w:b/>
        </w:rPr>
        <w:t>🌐 해외 상황</w:t>
      </w:r>
    </w:p>
    <w:p>
      <w:r>
        <w:t>트럼프 대통령의 이란 강타 발언 이후 국제유가가 배럴당 110달러에 근접하며 4% 이상 급등했고 월스트리트와 아시아 증시가 동반 하락했다. 한국 증시는 이란 휴전 기대 소멸로 4.5% 하락 마감했다. 한국 대통령은 에너지 위기 대응을 위한 170억 달러 규모 예산의 신속한 의회 승인을 촉구했다.</w:t>
      </w:r>
    </w:p>
    <w:p>
      <w:r>
        <w:rPr>
          <w:b/>
        </w:rPr>
        <w:t>🇰🇷 국내 영향</w:t>
      </w:r>
    </w:p>
    <w:p>
      <w:r>
        <w:t>원유 위기경보가 '경계' 단계로 격상되고 공공기관 차량 2부제가 시행됐다. 환율은 1,520원대를 위협하고 있으며, KIEP는 전쟁 종식 후에도 유가가 90달러를 유지하고 확전 시 174달러까지 오를 수 있다고 전망했다. 울산 물가는 2.5% 급등했으며, 2분기 중견기업 경기 전망도 미·이란 전쟁 악재를 아직 반영하지 못한 상태로 먹구름이 끼었다.</w:t>
      </w:r>
    </w:p>
    <w:p>
      <w:pPr>
        <w:pStyle w:val="Heading3"/>
      </w:pPr>
      <w:r>
        <w:t>수산물  (HIGH 0 / MEDIUM 6)</w:t>
      </w:r>
    </w:p>
    <w:p>
      <w:r>
        <w:rPr>
          <w:b/>
        </w:rPr>
        <w:t>🌐 해외 상황</w:t>
      </w:r>
    </w:p>
    <w:p>
      <w:r>
        <w:t>게잡이 시즌이 비용 상승과 불확실성 속에 시작됐다.</w:t>
      </w:r>
    </w:p>
    <w:p>
      <w:r>
        <w:rPr>
          <w:b/>
        </w:rPr>
        <w:t>🇰🇷 국내 영향</w:t>
      </w:r>
    </w:p>
    <w:p>
      <w:r>
        <w:t>수협중앙회는 유가 급등에 대응해 어업인 대상 100억 원 유류비 지원을 추진하고 있다. 호르무즈발 농업 위기에 대응한 추경 재편성 필요성도 제기됐다.</w:t>
      </w:r>
    </w:p>
    <w:p>
      <w:pPr>
        <w:pStyle w:val="Heading3"/>
      </w:pPr>
      <w:r>
        <w:t>해운  (HIGH 0 / MEDIUM 18)</w:t>
      </w:r>
    </w:p>
    <w:p>
      <w:r>
        <w:rPr>
          <w:b/>
        </w:rPr>
        <w:t>🌐 해외 상황</w:t>
      </w:r>
    </w:p>
    <w:p>
      <w:r>
        <w:t>라이언에어 CEO는 5~6월 항공 운항 차질 가능성을 경고했다.</w:t>
      </w:r>
    </w:p>
    <w:p>
      <w:r>
        <w:rPr>
          <w:b/>
        </w:rPr>
        <w:t>🇰🇷 국내 영향</w:t>
      </w:r>
    </w:p>
    <w:p>
      <w:r>
        <w:t>HD현대 정기선 회장이 인도·필리핀·베트남 사업장을 잇달아 방문하며 아시아 조선·생산 거점 현장 경영을 강화하고 있다. 이는 중동 리스크 장기화에 대비한 아시아 공급망 다변화 행보로 보인다.</w:t>
      </w:r>
    </w:p>
    <w:p>
      <w:pPr>
        <w:pStyle w:val="Heading3"/>
      </w:pPr>
      <w:r>
        <w:t>물류  (HIGH 1 / MEDIUM 1)</w:t>
      </w:r>
    </w:p>
    <w:p>
      <w:r>
        <w:rPr>
          <w:b/>
        </w:rPr>
        <w:t>🌐 해외 상황</w:t>
      </w:r>
    </w:p>
    <w:p>
      <w:r>
        <w:t>이란 전쟁으로 소규모 기업들이 비용 상승과 선적 지연에 직면하고 있다.</w:t>
      </w:r>
    </w:p>
    <w:p>
      <w:r>
        <w:rPr>
          <w:b/>
        </w:rPr>
        <w:t>🇰🇷 국내 영향</w:t>
      </w:r>
    </w:p>
    <w:p>
      <w:r>
        <w:t>당정은 석유화학·수출 피해 기업을 대상으로 물류비 부담 경감 및 대체 시장 발굴 지원 방안을 논의했다.</w:t>
      </w:r>
    </w:p>
    <w:p>
      <w:pPr>
        <w:pStyle w:val="Heading3"/>
      </w:pPr>
      <w:r>
        <w:t>항만혼잡  (HIGH 0 / MEDIUM 1)</w:t>
      </w:r>
    </w:p>
    <w:p>
      <w:r>
        <w:rPr>
          <w:b/>
        </w:rPr>
        <w:t>🌐 해외 상황</w:t>
      </w:r>
    </w:p>
    <w:p>
      <w:r>
        <w:t>남아프리카 석과류 167개 컨테이너가 해상에서 지연되고 있다.</w:t>
      </w:r>
    </w:p>
    <w:p>
      <w:pPr>
        <w:pStyle w:val="Heading3"/>
      </w:pPr>
      <w:r>
        <w:t>기타 산업  (HIGH 28 / MEDIUM 67)</w:t>
      </w:r>
    </w:p>
    <w:p>
      <w:r>
        <w:rPr>
          <w:b/>
        </w:rPr>
        <w:t>🌐 해외 상황</w:t>
      </w:r>
    </w:p>
    <w:p>
      <w:r>
        <w:t>이란 전쟁으로 석유화학 산업이 2026년 내내 타격을 받을 것이라는 전망이 나왔다. 일부 국가들이 석유 위기 대응으로 주 4일 근무제 도입을 검토 중인 것으로 알려졌다. 러시아는 7월 31일까지 휘발유 수출을 금지했으며, 중국은 독립 정유사들에게 연료 생산 유지를 지시했다. 일부 정부는 석유화학 부족 완화를 위해 정유소에 LPG 원료 전환을 지시하고 석유화학 제품 관세를 면제했다.</w:t>
      </w:r>
    </w:p>
    <w:p>
      <w:r>
        <w:rPr>
          <w:b/>
        </w:rPr>
        <w:t>🇰🇷 국내 영향</w:t>
      </w:r>
    </w:p>
    <w:p>
      <w:r>
        <w:t>IEA 사무총장은 4월 석유 공급 차질이 3월의 2배에 달할 것으로 경고했다. 대외경제정책연구원은 미·이란 전쟁이 종식되더라도 유가 상승이 지속될 것으로 전망했으며, 에너지 공급망 불안이 장기화될 경우 유가가 117달러까지 오를 가능성이 제기됐다. LG·GS 빅딜 등 여수산단 재편도 속도를 내지 못하고 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2968</w:t>
            </w:r>
          </w:p>
        </w:tc>
        <w:tc>
          <w:tcPr>
            <w:tcW w:type="dxa" w:w="2946"/>
          </w:tcPr>
          <w:p>
            <w:r>
              <w:t>100.0%</w:t>
            </w:r>
          </w:p>
        </w:tc>
      </w:tr>
      <w:tr>
        <w:tc>
          <w:tcPr>
            <w:tcW w:type="dxa" w:w="2946"/>
          </w:tcPr>
          <w:p>
            <w:r>
              <w:t>HIGH</w:t>
            </w:r>
          </w:p>
        </w:tc>
        <w:tc>
          <w:tcPr>
            <w:tcW w:type="dxa" w:w="2946"/>
          </w:tcPr>
          <w:p>
            <w:r>
              <w:t>198</w:t>
            </w:r>
          </w:p>
        </w:tc>
        <w:tc>
          <w:tcPr>
            <w:tcW w:type="dxa" w:w="2946"/>
          </w:tcPr>
          <w:p>
            <w:r>
              <w:t>6.7%</w:t>
            </w:r>
          </w:p>
        </w:tc>
      </w:tr>
      <w:tr>
        <w:tc>
          <w:tcPr>
            <w:tcW w:type="dxa" w:w="2946"/>
          </w:tcPr>
          <w:p>
            <w:r>
              <w:t>MEDIUM</w:t>
            </w:r>
          </w:p>
        </w:tc>
        <w:tc>
          <w:tcPr>
            <w:tcW w:type="dxa" w:w="2946"/>
          </w:tcPr>
          <w:p>
            <w:r>
              <w:t>576</w:t>
            </w:r>
          </w:p>
        </w:tc>
        <w:tc>
          <w:tcPr>
            <w:tcW w:type="dxa" w:w="2946"/>
          </w:tcPr>
          <w:p>
            <w:r>
              <w:t>19.4%</w:t>
            </w:r>
          </w:p>
        </w:tc>
      </w:tr>
      <w:tr>
        <w:tc>
          <w:tcPr>
            <w:tcW w:type="dxa" w:w="2946"/>
          </w:tcPr>
          <w:p>
            <w:r>
              <w:t>LOW</w:t>
            </w:r>
          </w:p>
        </w:tc>
        <w:tc>
          <w:tcPr>
            <w:tcW w:type="dxa" w:w="2946"/>
          </w:tcPr>
          <w:p>
            <w:r>
              <w:t>486</w:t>
            </w:r>
          </w:p>
        </w:tc>
        <w:tc>
          <w:tcPr>
            <w:tcW w:type="dxa" w:w="2946"/>
          </w:tcPr>
          <w:p>
            <w:r>
              <w:t>16.4%</w:t>
            </w:r>
          </w:p>
        </w:tc>
      </w:tr>
      <w:tr>
        <w:tc>
          <w:tcPr>
            <w:tcW w:type="dxa" w:w="2946"/>
          </w:tcPr>
          <w:p>
            <w:r>
              <w:t>NONE</w:t>
            </w:r>
          </w:p>
        </w:tc>
        <w:tc>
          <w:tcPr>
            <w:tcW w:type="dxa" w:w="2946"/>
          </w:tcPr>
          <w:p>
            <w:r>
              <w:t>1708</w:t>
            </w:r>
          </w:p>
        </w:tc>
        <w:tc>
          <w:tcPr>
            <w:tcW w:type="dxa" w:w="2946"/>
          </w:tcPr>
          <w:p>
            <w:r>
              <w:t>57.5%</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