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2026-06-12</w:t>
      </w:r>
    </w:p>
    <w:p>
      <w:pPr>
        <w:jc w:val="center"/>
      </w:pPr>
      <w:r>
        <w:rPr>
          <w:color w:val="808080"/>
          <w:sz w:val="18"/>
        </w:rPr>
        <w:t>생성 모델: claude-sonnet-4-6  |  HIGH+MEDIUM 241건 (해외 27건 / 국내 214건)</w:t>
      </w:r>
    </w:p>
    <w:p/>
    <w:p>
      <w:pPr>
        <w:pStyle w:val="Heading2"/>
      </w:pPr>
      <w:r>
        <w:t>오늘의 핵심</w:t>
      </w:r>
    </w:p>
    <w:p>
      <w:r>
        <w:t>미·이란 종전 MOU 초안이 공개되며 호르무즈 해협 재개방 기대감이 고조되고 있다[12][13][15][16]. 초안에는 제재 해제, 호르무즈 재개, 동결자금 해제, 455조원 규모 재건 지원 등 14개 항이 포함된 것으로 알려졌으며[12][15][20], 트럼프 대통령은 이번 주말 유럽에서 평화협정 서명 가능성을 언급했다[10][11]. 이 같은 합의 임박 기대감에 국제유가는 4%대 급락해 두 달 만에 최저치를 기록했고[40][41][42], 달러-원 환율도 한때 1,515.20원까지 급락했다[43]. 다만 이란 국영 통신사는 MOU 체결 이후에도 호르무즈 해협 통제권은 이란이 유지한다고 밝혀[14] 완전한 정상화까지는 불확실성이 남아 있다. 한편 SCFI는 7주 연속 상승하며 3,000선에 근접했고[26], 중동전쟁 장기화로 국내 중소기업 피해 신고가 918건에 달하는 것으로 나타났다[29][30].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66 / MEDIUM 77)</w:t>
      </w:r>
    </w:p>
    <w:p>
      <w:r>
        <w:rPr>
          <w:b/>
        </w:rPr>
        <w:t>🌐 해외 상황</w:t>
      </w:r>
    </w:p>
    <w:p>
      <w:r>
        <w:t>미국은 이란에 대한 추가 공습을 단행했고 이란도 반격에 나서는 등 군사적 긴장이 지속되는 가운데[1][4], 트럼프 대통령은 합의 돌파구를 주장하며 이번 주말 평화협정 서명 가능성을 시사했다[9][10]. 이란 측은 미국과의 합의 초안 대부분이 타결됐으며 최종 승인만 남았다고 밝혔다[7]. 터키와 시리아는 호르무즈를 우회하는 경로 확보 경쟁에서 이스라엘을 배제하려는 움직임을 보이고 있다[5]. 소말리아 해적 활동은 정치적 혼란, 원조 삭감, 이란 전쟁 등의 영향으로 재강화되고 있으며 해적 조직 구조도 강화되고 있는 것으로 보인다[2][3]. 중국 인민해방군의 대만 주변 해역·공역 활동도 지속되고 있다[6].</w:t>
      </w:r>
    </w:p>
    <w:p>
      <w:r>
        <w:rPr>
          <w:b/>
        </w:rPr>
        <w:t>🇰🇷 국내 영향</w:t>
      </w:r>
    </w:p>
    <w:p>
      <w:r>
        <w:t>미·이란 종전 MOU 초안이 공개되며 호르무즈 해협 재개방이 포함된 것으로 알려졌고[13][15][18][19], 네타냐후 이스라엘 총리도 종전 논의를 인지했다고 밝히며 호르무즈 개방 기대감이 확산되고 있다[17]. 초안에는 제재 해제, 호르무즈 재개, 동결자금 해제, 455조원 규모 재건 지원 등 14개 항이 담긴 것으로 전해진다[12][15][20]. 다만 이란 국영 통신사는 MOU 체결 이후에도 호르무즈 해협 통제권은 이란이 유지한다고 밝혀[14] 실질적 통항 정상화 여부는 추가 확인이 필요한 상황이다.</w:t>
      </w:r>
    </w:p>
    <w:p>
      <w:pPr>
        <w:pStyle w:val="Heading3"/>
      </w:pPr>
      <w:r>
        <w:t>운임·물류비  (HIGH 1 / MEDIUM 9)</w:t>
      </w:r>
    </w:p>
    <w:p>
      <w:r>
        <w:rPr>
          <w:b/>
        </w:rPr>
        <w:t>🌐 해외 상황</w:t>
      </w:r>
    </w:p>
    <w:p>
      <w:r>
        <w:t>호르무즈 우회 경로인 오만 파이프라인은 현재 후티 세력에 의해 폐쇄된 상태이며[21], 선주들은 호르무즈 관련 소식에 촉각을 곤두세우는 가운데 '다크' 원유 흐름이 증가하고 있다[22]. ADNOC은 호르무즈 해협을 통한 유조선 운항을 재개하며 통과 횟수가 늘고 있다[23].</w:t>
      </w:r>
    </w:p>
    <w:p>
      <w:r>
        <w:rPr>
          <w:b/>
        </w:rPr>
        <w:t>🇰🇷 국내 영향</w:t>
      </w:r>
    </w:p>
    <w:p>
      <w:r>
        <w:t>SCFI는 7주 연속 상승하며 3,000선에 근접했고[26], 글로벌 운임 급등으로 K-해운사들의 실적 개선 기대감이 높아지고 있다[24]. 일본 항공사들은 7월 발권분부터 유류할증료를 추가 인상할 예정이다[25]. 중동전쟁 장기화로 국내 중소기업의 피해 신고가 918건에 달하며 운송 차질, 물류비 상승, 부품 단가 상승, 공급 차질 등의 피해가 보고되고 있다[29][30]. 해진공의 KCCI 등 해상운임지수 정보 제공 채널이 국가물류통합정보센터를 통해 실시간으로 확대 제공된다[27][28].</w:t>
      </w:r>
    </w:p>
    <w:p>
      <w:pPr>
        <w:pStyle w:val="Heading3"/>
      </w:pPr>
      <w:r>
        <w:t>항만·화물  (HIGH 0 / MEDIUM 1)</w:t>
      </w:r>
    </w:p>
    <w:p>
      <w:r>
        <w:rPr>
          <w:b/>
        </w:rPr>
        <w:t>🌐 해외 상황</w:t>
      </w:r>
    </w:p>
    <w:p>
      <w:r>
        <w:t>Naftogaz 그룹이 장기 LNG 조달 계약을 체결했다[31].</w:t>
      </w:r>
    </w:p>
    <w:p>
      <w:pPr>
        <w:pStyle w:val="Heading3"/>
      </w:pPr>
      <w:r>
        <w:t>경제·금융  (HIGH 12 / MEDIUM 52)</w:t>
      </w:r>
    </w:p>
    <w:p>
      <w:r>
        <w:rPr>
          <w:b/>
        </w:rPr>
        <w:t>🌐 해외 상황</w:t>
      </w:r>
    </w:p>
    <w:p>
      <w:r>
        <w:t>미·이란 합의 기대감에 세계 증시가 급등하고 국제유가는 하락했으며[35][36][38], 브렌트유는 두 달 만에 최저 수준으로 떨어졌다[32]. 일본과 한국 증시도 트럼프의 이란 합의 발표 이후 급등했다[39]. 비트코인 등 암호화폐도 이란 전쟁 종식 신호에 반응해 상승했다[37]. 철광석 가격은 이란 전쟁의 영향을 받지 않고 있으며 중국의 5월 데이터가 시장의 주목을 받고 있다[33]. 나이지리아는 OPEC 쿼터를 초과하며 원유·콘덴세이트 생산량이 11개월 만에 최고치를 기록했다[34].</w:t>
      </w:r>
    </w:p>
    <w:p>
      <w:r>
        <w:rPr>
          <w:b/>
        </w:rPr>
        <w:t>🇰🇷 국내 영향</w:t>
      </w:r>
    </w:p>
    <w:p>
      <w:r>
        <w:t>미·이란 합의 임박 기대감에 국제유가가 4%대 급락해 두 달 만에 최저치를 기록했다[40][41][42][44][45][46][47][49]. 달러-원 환율도 호르무즈 해협 재개방 가능성 소식에 급락해 한때 1,515.20원까지 하락했다[43]. 국내 증시도 이란·미국 합의 초안 공개와 호르무즈 재개방 기대감에 상승세를 보였다[48].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고수온 영향으로 바지락 수확량이 5년 전 대비 4분의 1 수준으로 급감했다[50]. 양식 생물 전반에 걸쳐 고수온 피해가 확산되고 있어 대응이 시급한 상황이다[51].</w:t>
      </w:r>
    </w:p>
    <w:p>
      <w:pPr>
        <w:pStyle w:val="Heading3"/>
      </w:pPr>
      <w:r>
        <w:t>해운  (HIGH 1 / MEDIUM 4)</w:t>
      </w:r>
    </w:p>
    <w:p>
      <w:r>
        <w:rPr>
          <w:b/>
        </w:rPr>
        <w:t>🇰🇷 국내 영향</w:t>
      </w:r>
    </w:p>
    <w:p>
      <w:r>
        <w:t>한국 LNG 운반선 한 척이 호르무즈 해협을 통해 탈출에 성공했다[52]. 한화오션은 VLCC 4척을 8,001억원 규모로 수주했고[53], 삼성중공업은 3,855억원 규모의 LNG 운반선을 수주했다[54]. HMM은 벌크선·유조선 등 선종 다변화를 가속화하고 있으며[55], 세계 최초로 알루미늄 케이블을 적용한 9,000TEU급 메탄올 컨테이너선을 도입했다[56].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평택시는 중동발 물류 혼란과 환율 변동으로 피해를 입은 중소기업에 긴급 지원을 포함한 3대 대책을 시행하고 있다[57].</w:t>
      </w:r>
    </w:p>
    <w:p>
      <w:pPr>
        <w:pStyle w:val="Heading3"/>
      </w:pPr>
      <w:r>
        <w:t>기타 산업  (HIGH 1 / MEDIUM 14)</w:t>
      </w:r>
    </w:p>
    <w:p>
      <w:r>
        <w:rPr>
          <w:b/>
        </w:rPr>
        <w:t>🌐 해외 상황</w:t>
      </w:r>
    </w:p>
    <w:p>
      <w:r>
        <w:t>러시아의 원유 생산량이 우크라이나의 공격 영향으로 1년 만에 최저 수준으로 떨어졌다[58]. 캐나다의 원유 생산 차질과 악천후로 미국 주요 저장 허브의 재고가 타이트해질 가능성이 있다[59].</w:t>
      </w:r>
    </w:p>
    <w:p>
      <w:r>
        <w:rPr>
          <w:b/>
        </w:rPr>
        <w:t>🇰🇷 국내 영향</w:t>
      </w:r>
    </w:p>
    <w:p>
      <w:r>
        <w:t>카타르의 LNG 공급 차질로 미국 LNG의 영향력이 확대되며 글로벌 LNG 시장이 재편되고 있다[60]. 종로의 한 음식점은 미국산 냉동 뱀장어 수입이 중단되면서 생곰장어로 메뉴를 교체했다[61]. 삼성중공업은 아프리카에서 3조 6,000억원 규모의 FLNG 본계약을 체결하며 해양 플랜트 시장 선점에 나섰다[64][65]. 롯데·HD현대의 석유화학 구조조정 1호가 9월 출범 예정이며 업황 악화 속 후속 구조조정도 논의되고 있다[67]. 한국은행 부산본부는 석유화학 중심의 수출 둔화로 지역 경기 개선이 주춤하고 있다고 밝혔다[66]. 중국은 희토류 수출 통제를 유지하고 있어 일본의 공급망 우려가 지속되고 있다[69].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2002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81</w:t>
            </w:r>
          </w:p>
        </w:tc>
        <w:tc>
          <w:tcPr>
            <w:tcW w:type="dxa" w:w="2946"/>
          </w:tcPr>
          <w:p>
            <w:r>
              <w:t>4.0%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160</w:t>
            </w:r>
          </w:p>
        </w:tc>
        <w:tc>
          <w:tcPr>
            <w:tcW w:type="dxa" w:w="2946"/>
          </w:tcPr>
          <w:p>
            <w:r>
              <w:t>8.0%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293</w:t>
            </w:r>
          </w:p>
        </w:tc>
        <w:tc>
          <w:tcPr>
            <w:tcW w:type="dxa" w:w="2946"/>
          </w:tcPr>
          <w:p>
            <w:r>
              <w:t>14.6%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1468</w:t>
            </w:r>
          </w:p>
        </w:tc>
        <w:tc>
          <w:tcPr>
            <w:tcW w:type="dxa" w:w="2946"/>
          </w:tcPr>
          <w:p>
            <w:r>
              <w:t>73.3%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