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2026-05-18</w:t>
      </w:r>
    </w:p>
    <w:p>
      <w:pPr>
        <w:jc w:val="center"/>
      </w:pPr>
      <w:r>
        <w:rPr>
          <w:color w:val="808080"/>
          <w:sz w:val="18"/>
        </w:rPr>
        <w:t>생성 모델: claude-sonnet-4-6  |  HIGH+MEDIUM 414건 (해외 238건 / 국내 176건)</w:t>
      </w:r>
    </w:p>
    <w:p/>
    <w:p>
      <w:pPr>
        <w:pStyle w:val="Heading2"/>
      </w:pPr>
      <w:r>
        <w:t>오늘의 핵심</w:t>
      </w:r>
    </w:p>
    <w:p>
      <w:r>
        <w:t>이란이 '페르시아만 해협청'을 신설하고 호르무즈 해협 통항에 통행료를 부과하는 새로운 관리 체계를 공식화했으며[3][6][11][12], 무단 통항을 불법으로 규정하고 적국 군사 장비의 통과를 금지하는 조치를 발표했다[5][10]. 국제유가는 호르무즈 긴장 지속으로 브렌트유가 배럴당 110달러에 근접하거나 상회하는 수준까지 급등했으며[46][49], Moody's는 2026년 내내 브렌트유가 90~110달러 범위에 머물 것으로 전망했다[47]. 한국 선박들은 호르무즈 통항 교착 상태에 직면했고[18], 우회 육상운송 운임은 4배 상승하는 등 물류 압박이 가중되고 있다[27]. 국내에서는 원/달러 환율이 1,500원대를 유지하고 외국인 코스피 순매도가 100조 원을 돌파했으며[56][61], 요소 가격이 2.5배 급등하는 등 중동 사태의 산업 파급이 본격화되고 있다[103].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23 / MEDIUM 213)</w:t>
      </w:r>
    </w:p>
    <w:p>
      <w:r>
        <w:rPr>
          <w:b/>
        </w:rPr>
        <w:t>🌐 해외 상황</w:t>
      </w:r>
    </w:p>
    <w:p>
      <w:r>
        <w:t>이란은 '페르시아만 해협청(Persian Gulf Strait Authority)'을 신설해 호르무즈 해협 관리를 공식화하고 엑스(X) 계정까지 개설했다[3][6][7][8]. 이란은 무단 통항을 불법으로 규정하고[5], 적국 군사 장비의 해협 통과를 금지했으며[10], 파키스탄행 선박에 대해 비트코인으로 통행료를 납부해야 할 수 있다는 보도도 나왔다[2]. 미국은 호르무즈 긴장이 지속되는 가운데 러시아산 해상 원유 제재에 대한 30일 면제 조치를 연장했다[1][4]. 한편 이란은 장기·단계적 휴전을 제안하며 호르무즈 해협 개방을 요구하는 새로운 종전안을 미국에 전달했고[13][19], 호르무즈 해협 기뢰 제거 작전에 드론 대 드론 방식이 활용될 수 있다는 분석도 제기됐다[9].</w:t>
      </w:r>
    </w:p>
    <w:p>
      <w:r>
        <w:rPr>
          <w:b/>
        </w:rPr>
        <w:t>🇰🇷 국내 영향</w:t>
      </w:r>
    </w:p>
    <w:p>
      <w:r>
        <w:t>한국 선박들이 호르무즈 통항 교착 상태에 직면했다는 보도가 나왔다[18]. 이란의 '페르시아만 해협청' 신설과 통행료 부과 정책이 공식화되면서 한국 선사들의 통항 비용 증가 가능성이 높아졌다[11][12][14]. 호르무즈 봉쇄가 글로벌 경제 침체의 도화선이 될 수 있다는 우려도 국내에서 제기됐다[15]. 러시아는 아틱 LNG 2 프로젝트에 LNG 운반선 4척을 추가 투입했으며[16], 트럼프 측근들은 중국의 5년 내 대만 침공 가능성을 우려하며 현실화 시 공급망 타격이 불가피하다고 경고했다[17].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🌐 해외 상황</w:t>
      </w:r>
    </w:p>
    <w:p>
      <w:r>
        <w:t>러시아 드론이 흑해에서 중국 연계 화물선을 공격했다[21].</w:t>
      </w:r>
    </w:p>
    <w:p>
      <w:pPr>
        <w:pStyle w:val="Heading3"/>
      </w:pPr>
      <w:r>
        <w:t>운임·물류비  (HIGH 5 / MEDIUM 9)</w:t>
      </w:r>
    </w:p>
    <w:p>
      <w:r>
        <w:rPr>
          <w:b/>
        </w:rPr>
        <w:t>🌐 해외 상황</w:t>
      </w:r>
    </w:p>
    <w:p>
      <w:r>
        <w:t>트럼프 대통령이 발표한 400억 달러 규모의 호르무즈 보험 지원 약속이 실효성이 없다는 것이 브로커들에 의해 드러났으며, 실제로 이를 활용한 선박은 없는 것으로 보인다[22]. 호르무즈 위기로 항공유 가격이 3배 급등했으나 라이언에어는 사전 헤지 계약으로 영향을 최소화했다[23]. 호르무즈 봉쇄 78일째를 맞아 미국 내 가스 가격이 메모리얼 데이를 앞두고 추가 상승이 예상된다[24]. 이란이 선박 통항에 통행료를 부과하는 호르무즈 통항 당국을 설립했다[25].</w:t>
      </w:r>
    </w:p>
    <w:p>
      <w:r>
        <w:rPr>
          <w:b/>
        </w:rPr>
        <w:t>🇰🇷 국내 영향</w:t>
      </w:r>
    </w:p>
    <w:p>
      <w:r>
        <w:t>호르무즈 우회 육상운송 운임이 4배 상승하는 등 대체 물류 경로에서도 비용 압박이 심화되고 있다[27]. 6월 국제선 유류할증료는 최대 20% 인하될 전망이나, 미주 노선은 여전히 90만 원대를 유지하고 있다[28][29][30][31][32][33][34]. 해운 업계는 중동 압박으로 하반기 하방 압력이 커질 것으로 전망되는 반면, 조선 업계는 호조를 보이는 대조적인 흐름이 나타나고 있다[35].</w:t>
      </w:r>
    </w:p>
    <w:p>
      <w:pPr>
        <w:pStyle w:val="Heading3"/>
      </w:pPr>
      <w:r>
        <w:t>항만·화물  (HIGH 1 / MEDIUM 7)</w:t>
      </w:r>
    </w:p>
    <w:p>
      <w:r>
        <w:rPr>
          <w:b/>
        </w:rPr>
        <w:t>🌐 해외 상황</w:t>
      </w:r>
    </w:p>
    <w:p>
      <w:r>
        <w:t>볼티모어 키 브리지 붕괴로 6명이 사망한 사건과 관련해 선박 운항사에 대한 형사 기소가 이루어졌다[36]. ADNOC은 인도 내 원유 비축량을 3,000만 배럴로 확대할 계획이다[37]. 우크라이나 드론이 러시아 초계함, 화물선, 항만 인프라를 공격했다[38].</w:t>
      </w:r>
    </w:p>
    <w:p>
      <w:r>
        <w:rPr>
          <w:b/>
        </w:rPr>
        <w:t>🇰🇷 국내 영향</w:t>
      </w:r>
    </w:p>
    <w:p>
      <w:r>
        <w:t>삼성중공업이 LNG 운반선 3척을 1조 1,242억 원 규모로 수주했다[39]. 4월 울산 수출·수입이 통관 기준으로 급증했다[42]. 여수항 정박지 해상 환적이 20년간 규제로 묶여 있다는 문제가 제기됐다[43].</w:t>
      </w:r>
    </w:p>
    <w:p>
      <w:pPr>
        <w:pStyle w:val="Heading3"/>
      </w:pPr>
      <w:r>
        <w:t>경제·금융  (HIGH 6 / MEDIUM 109)</w:t>
      </w:r>
    </w:p>
    <w:p>
      <w:r>
        <w:rPr>
          <w:b/>
        </w:rPr>
        <w:t>🌐 해외 상황</w:t>
      </w:r>
    </w:p>
    <w:p>
      <w:r>
        <w:t>국제유가는 이란 긴장 지속과 UAE 핵발전소 드론 피격 소식에 급등했으며[44][45], 브렌트유는 110달러를 상회하는 수준까지 치솟았다[46]. Moody's는 호르무즈 교란이 구조적 문제로 고착화되면서 2026년 내내 브렌트유가 90~110달러 범위에 머물 것으로 전망했다[47]. 트럼프 대통령이 이란에 경고를 발하면서 유가 변동성이 확대되고 월스트리트는 하락세를 보였다[48][49][51]. 미국이 이란 평화안 응답을 지연하는 사이 원유 가격이 추가 상승했다[50]. 에미레이트항공은 유가 하락이 연료비 절감으로 이어질 것으로 기대했다[52].</w:t>
      </w:r>
    </w:p>
    <w:p>
      <w:r>
        <w:rPr>
          <w:b/>
        </w:rPr>
        <w:t>🇰🇷 국내 영향</w:t>
      </w:r>
    </w:p>
    <w:p>
      <w:r>
        <w:t>국고채 금리가 2년 6개월 만에 최고치를 기록했으며, 외국인의 코스피 순매도 누적액이 100조 원을 돌파했다[56]. 원/달러 환율은 1,500원대를 유지하며 외국인 주식 매도가 지속되고 있다[61]. 중국 4월 경제지표가 기대에 못 미치면서 이란 전쟁 여파가 중국 경제에 본격화되고 있다는 분석이 나왔다[57]. 한국은행은 삼성전자 총파업 시 올해 성장률이 최대 0.5%포인트 하락할 수 있다고 경고했으며[58], 반도체 업계에서는 삼성 노사 대타협을 촉구하는 목소리가 나왔다[59]. 고유가 피해지원금 2차 신청과 관련한 기준 불만이 곳곳에서 제기되고 있다[60][62][63].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🇰🇷 국내 영향</w:t>
      </w:r>
    </w:p>
    <w:p>
      <w:r>
        <w:t>서천호 의원이 원양어선 비상대응 강화를 위한 원양산업발전법 개정안을 대표 발의했다[64]. 전북도는 중동 사태 장기화에 대응해 어업·수산산업 현장 점검에 나섰다[65].</w:t>
      </w:r>
    </w:p>
    <w:p>
      <w:pPr>
        <w:pStyle w:val="Heading3"/>
      </w:pPr>
      <w:r>
        <w:t>해운  (HIGH 6 / MEDIUM 11)</w:t>
      </w:r>
    </w:p>
    <w:p>
      <w:r>
        <w:rPr>
          <w:b/>
        </w:rPr>
        <w:t>🌐 해외 상황</w:t>
      </w:r>
    </w:p>
    <w:p>
      <w:r>
        <w:t>호르무즈 해협 유조선 통항량이 전시 최저치에서 소폭 회복세를 보이고 있다[66]. 해운사들은 호르무즈 재개방을 기다리며 변화하는 상황에 흔들리고 있다[67]. 이라크산 원유를 실은 초대형 유조선(VLCC)이 미국 봉쇄로 지연된 후 베트남으로 향하고 있다[68][69]. 상하이는 국제 해운 허브 구축 목표를 발표했다[71]. Hapag-Lloyd와 CMA CGM은 미국의 조치 이후 쿠바 예약을 중단했다[72].</w:t>
      </w:r>
    </w:p>
    <w:p>
      <w:r>
        <w:rPr>
          <w:b/>
        </w:rPr>
        <w:t>🇰🇷 국내 영향</w:t>
      </w:r>
    </w:p>
    <w:p>
      <w:r>
        <w:t>삼성중공업이 LNG 운반선 3척을 1조 원 규모로 수주하며 수주 행진을 이어가고 있다[73][74]. K조선 수주액이 200억 달러를 돌파하며 슈퍼사이클 2막이 열렸다는 평가가 나왔다[78][79]. 대한해운은 1분기 영업이익이 전년 대비 16% 증가한 744억 원을 기록했다[77][80]. 팬스타가 북극항로 시범운항 선사로 선정됐다[81][82].</w:t>
      </w:r>
    </w:p>
    <w:p>
      <w:pPr>
        <w:pStyle w:val="Heading3"/>
      </w:pPr>
      <w:r>
        <w:t>물류  (HIGH 0 / MEDIUM 3)</w:t>
      </w:r>
    </w:p>
    <w:p>
      <w:r>
        <w:rPr>
          <w:b/>
        </w:rPr>
        <w:t>🇰🇷 국내 영향</w:t>
      </w:r>
    </w:p>
    <w:p>
      <w:r>
        <w:t>BNK부산은행이 DHL코리아와 수출입 금융·물류 협력을 위한 업무협약을 체결하고 수출입 기업에 교육·서비스를 제공하기로 했다[83][84][85].</w:t>
      </w:r>
    </w:p>
    <w:p>
      <w:pPr>
        <w:pStyle w:val="Heading3"/>
      </w:pPr>
      <w:r>
        <w:t>기타 산업  (HIGH 4 / MEDIUM 14)</w:t>
      </w:r>
    </w:p>
    <w:p>
      <w:r>
        <w:rPr>
          <w:b/>
        </w:rPr>
        <w:t>🌐 해외 상황</w:t>
      </w:r>
    </w:p>
    <w:p>
      <w:r>
        <w:t>이란 전쟁이 글로벌 비료 공급 충격을 촉발할 수 있다는 경고가 제기됐다[86]. UAE의 바라카 핵발전소가 드론 공격을 받았으며[87][88][89][93], 이는 평화적 핵에너지의 미래에 대한 공격으로 평가됐다[88]. 서아시아 긴장이 인도 자동차 공급망에 영향을 미쳐 비용과 가격을 끌어올리고 있다[90]. 원유 재고가 고갈되고 식품·에너지 가격이 급등하고 있다는 경고가 나왔다[92]. 글로벌 쌀 가격이 공급 부족, 지정학적 위기, 기상 우려로 상승할 것으로 전망됐다[94]. 일본에서는 납사(나프타) 부족으로 공급 병목 현상이 발생하고 있다[95].</w:t>
      </w:r>
    </w:p>
    <w:p>
      <w:r>
        <w:rPr>
          <w:b/>
        </w:rPr>
        <w:t>🇰🇷 국내 영향</w:t>
      </w:r>
    </w:p>
    <w:p>
      <w:r>
        <w:t>IEA는 여름철 수요 증가 시 원유 공급 위기가 더욱 심화될 수 있다고 경고했으며[97], 76개국이 에너지 위기 긴급조치를 시행 중인 가운데 올여름이 고비가 될 것이라는 전망이 나왔다[98][100]. 일본도 중동 사태 장기화에 긴장하며 다카이치 총리가 에너지 추경 편성에 나섰다[99]. 유가 폭등으로 석유화학 업계가 재활용 플라스틱으로 눈을 돌리고 있으며[101], 요소 가격이 2.5배 급등하면서 쌍용C&amp;E·삼표시멘트 등 시멘트 업계가 흔들리고 있다[103]. 충북도는 중동발 자재 수급 불안에 대응해 현장 관리를 강화했다[102].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45</w:t>
            </w:r>
          </w:p>
        </w:tc>
        <w:tc>
          <w:tcPr>
            <w:tcW w:type="dxa" w:w="2946"/>
          </w:tcPr>
          <w:p>
            <w:r>
              <w:t>1.5%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369</w:t>
            </w:r>
          </w:p>
        </w:tc>
        <w:tc>
          <w:tcPr>
            <w:tcW w:type="dxa" w:w="2946"/>
          </w:tcPr>
          <w:p>
            <w:r>
              <w:t>12.4%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438</w:t>
            </w:r>
          </w:p>
        </w:tc>
        <w:tc>
          <w:tcPr>
            <w:tcW w:type="dxa" w:w="2946"/>
          </w:tcPr>
          <w:p>
            <w:r>
              <w:t>14.7%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2126</w:t>
            </w:r>
          </w:p>
        </w:tc>
        <w:tc>
          <w:tcPr>
            <w:tcW w:type="dxa" w:w="2946"/>
          </w:tcPr>
          <w:p>
            <w:r>
              <w:t>71.4%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