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2026-09-08</w:t>
      </w:r>
    </w:p>
    <w:p>
      <w:pPr>
        <w:jc w:val="center"/>
      </w:pPr>
      <w:r>
        <w:rPr>
          <w:color w:val="808080"/>
          <w:sz w:val="18"/>
        </w:rPr>
        <w:t>생성 모델: claude-sonnet-4-6  |  HIGH+MEDIUM 355건 (해외 194건 / 국내 161건)</w:t>
      </w:r>
    </w:p>
    <w:p/>
    <w:p>
      <w:pPr>
        <w:pStyle w:val="Heading2"/>
      </w:pPr>
      <w:r>
        <w:t>오늘의 핵심</w:t>
      </w:r>
    </w:p>
    <w:p>
      <w:r>
        <w:t>미국이 카르그 섬 인근 이란 유조선을 타격[1][3]하고 후티가 사우디 4개 도시를 공격해 73명이 사망[7]하는 등 중동 분쟁이 급격히 확대되면서 브렌트유가 97달러를 돌파하고 100달러에 근접[26][51]하고 있으며, 골드만삭스는 120달러 돌파 가능성을 경고[56][58]했다. 이란 혁명수비대(IRGC)는 쿠웨이트·바레인 인근 유조선 공격을 예고[4]하고 호르무즈 해협에서 미국 무인 잠수 드론을 나포[9]하는 등 해협 긴장이 고조되는 가운데, 호르무즈 통과 선박 교통량이 감소[23][24]하고 있다. 한국 이재명 대통령은 프랑스 마크롱 대통령과 호르무즈 항행 자유 회복을 위한 다국적 임무 협력에 합의[17][18]하였으며, 국방부는 UAE에 현지조사단을 파견해 파병 검토를 본격화[13][15]했다. 한편 카타르 LNG 운반선이 7월 이후 처음으로 호르무즈 해협을 통과[79][80]한 것이 확인되었고, HMM은 브라질 발레와 4.7조 원 규모 장기운송계약을 체결[82][83]하는 등 국내 해운업계는 위기 속에서도 사업 다각화를 추진 중이다. ECB는 물가 반등의 배후로 호르무즈 차질을 지목하며 이를 수요 과열이 아닌 공급 충격으로 규정[107]했다.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58 / MEDIUM 121)</w:t>
      </w:r>
    </w:p>
    <w:p>
      <w:r>
        <w:rPr>
          <w:b/>
        </w:rPr>
        <w:t>🌐 해외 상황</w:t>
      </w:r>
    </w:p>
    <w:p>
      <w:r>
        <w:t>미국이 카르그 섬 인근 이란 유조선을 타격[1][3]하자 이란 혁명수비대(IRGC)는 쿠웨이트·바레인 인근 유조선을 공격하겠다고 보복을 예고[4]했다. 후티 세력은 사우디아라비아 4개 도시를 공격해 73명이 사망하고 사우디 석유 정제시설이 피격[7]되었으며, 오만 무사담 인근에서는 사우디 유조선이 피격돼 선원 16명이 대피[10]했다. 이란 혁명수비대는 호르무즈 해협에서 미국 무인 잠수 드론을 나포[9]했으며, 루비오 미 국무장관은 후티의 사우디 석유시설 공격 배후에 이란이 있다고 언급[2]했다.</w:t>
      </w:r>
    </w:p>
    <w:p>
      <w:r>
        <w:rPr>
          <w:b/>
        </w:rPr>
        <w:t>🇰🇷 국내 영향</w:t>
      </w:r>
    </w:p>
    <w:p>
      <w:r>
        <w:t>이재명 대통령은 프랑스 마크롱 대통령과 정상회담에서 호르무즈 해협 항행 자유 회복을 위해 긴밀히 공조하기로 합의[12][16][20]했으며, 마크롱 대통령은 관련국 동의를 얻어 한국과 호르무즈 평화를 위한 다국적 임무에 협력하겠다고 밝혔다[17]. 국방부는 지난 주말 UAE에 현지조사단을 파견했으며, 이를 파병 전제는 아니라고 밝히면서도 파병 검토를 본격화[13][15]하고 있다. 이 대통령은 한·프랑스 협력이 호르무즈 항행 자유와 글로벌 공급망 안정 회복에 기여할 것이라고 강조[14][18][19]했다.</w:t>
      </w:r>
    </w:p>
    <w:p>
      <w:pPr>
        <w:pStyle w:val="Heading3"/>
      </w:pPr>
      <w:r>
        <w:t>해양안전  (HIGH 0 / MEDIUM 2)</w:t>
      </w:r>
    </w:p>
    <w:p>
      <w:r>
        <w:rPr>
          <w:b/>
        </w:rPr>
        <w:t>🇰🇷 국내 영향</w:t>
      </w:r>
    </w:p>
    <w:p>
      <w:r>
        <w:t>9월은 선박사고가 많은 시기로 안전수칙 준수가 절실하다는 경고가 제기[21]되었다. 울릉 사동항에서 작업선이 침몰하는 사고가 발생해 승선원 3명이 가까스로 탈출[22]했다.</w:t>
      </w:r>
    </w:p>
    <w:p>
      <w:pPr>
        <w:pStyle w:val="Heading3"/>
      </w:pPr>
      <w:r>
        <w:t>운임·물류비  (HIGH 6 / MEDIUM 3)</w:t>
      </w:r>
    </w:p>
    <w:p>
      <w:r>
        <w:rPr>
          <w:b/>
        </w:rPr>
        <w:t>🌐 해외 상황</w:t>
      </w:r>
    </w:p>
    <w:p>
      <w:r>
        <w:t>이란의 보복 위협 이후 호르무즈 해협 통과 선박 교통량이 감소[23][24]하고 있으며, 브렌트유는 호르무즈 차질로 97달러를 돌파[26]했다. 파나마 운하는 엘니뇨 강화로 선박 통항을 추가 감축하는 방안을 검토[27] 중이며, 신임 파나마 운하 청장이 취임해 수자원 및 확장 프로젝트에 집중할 방침[29][30]이다.</w:t>
      </w:r>
    </w:p>
    <w:p>
      <w:r>
        <w:rPr>
          <w:b/>
        </w:rPr>
        <w:t>🇰🇷 국내 영향</w:t>
      </w:r>
    </w:p>
    <w:p>
      <w:r>
        <w:t>수에즈 운하 항로 통제 여파로 내년에는 하루 27척만 통과 가능할 수 있다는 전망이 나오며 전 세계 물류업계에 비상이 걸렸다[31]. 홍해 항로 통제 여파로 울산항 반입 화물이 한 달 새 31% 감소[45]한 것으로 나타났다.</w:t>
      </w:r>
    </w:p>
    <w:p>
      <w:pPr>
        <w:pStyle w:val="Heading3"/>
      </w:pPr>
      <w:r>
        <w:t>항만·화물  (HIGH 4 / MEDIUM 20)</w:t>
      </w:r>
    </w:p>
    <w:p>
      <w:r>
        <w:rPr>
          <w:b/>
        </w:rPr>
        <w:t>🌐 해외 상황</w:t>
      </w:r>
    </w:p>
    <w:p>
      <w:r>
        <w:t>인도네시아 아낙 크라카타우 화산 폭발로 발생한 화산재로 자카르타를 포함한 인도네시아 7개 공항이 폐쇄되어 약 3,000편의 항공편이 차질을 빚었으나[37][41], 이후 화산재가 걷히면서 자카르타 공항이 재개항[34][41]했다.</w:t>
      </w:r>
    </w:p>
    <w:p>
      <w:r>
        <w:rPr>
          <w:b/>
        </w:rPr>
        <w:t>🇰🇷 국내 영향</w:t>
      </w:r>
    </w:p>
    <w:p>
      <w:r>
        <w:t>부산신항에서 무인크레인 작업 중 컨테이너 충돌 사고가 발생해 알킬벤젠 600리터가 해상에 유출[42][43][44][50]되었으며, 해경이 방제 작업을 진행 중이다. 인천항은 한·중 여객 활성화를 위한 '페리 인바운드 밸류업 협의체'를 출범[46]시켰다. 중국의 8월 원유 수입이 전년 대비 6.2% 증가하고 정제유 수출은 29% 늘어난 것으로 나타났다[47].</w:t>
      </w:r>
    </w:p>
    <w:p>
      <w:pPr>
        <w:pStyle w:val="Heading3"/>
      </w:pPr>
      <w:r>
        <w:t>경제·금융  (HIGH 5 / MEDIUM 87)</w:t>
      </w:r>
    </w:p>
    <w:p>
      <w:r>
        <w:rPr>
          <w:b/>
        </w:rPr>
        <w:t>🌐 해외 상황</w:t>
      </w:r>
    </w:p>
    <w:p>
      <w:r>
        <w:t>후티의 사우디 석유시설 공격으로 브렌트유가 100달러에 근접[51]하고 골드만삭스는 유가가 120달러를 돌파할 수 있다고 경고[56][58]했다. 유가 급등으로 월스트리트 증시가 하락하고 인플레이션 우려가 고조[54][57]되었으며, 글로벌 주식시장도 원유 급등과 금리 상승 압박으로 손실을 확대[55]했다. 중동 분쟁 장기화 우려로 원유 공급 차질 리스크가 부각되며 유가 상승세가 지속[52][53]되고 있다.</w:t>
      </w:r>
    </w:p>
    <w:p>
      <w:r>
        <w:rPr>
          <w:b/>
        </w:rPr>
        <w:t>🇰🇷 국내 영향</w:t>
      </w:r>
    </w:p>
    <w:p>
      <w:r>
        <w:t>미·이란 충돌 격화와 사우디 아람코 피격으로 국제유가가 6주 만에 최고치를 기록[61]했으며, 브렌트유가 100달러에 근접[62]했다. 유가 급등과 무역 긴장으로 뉴욕 증시가 하락한 가운데 반도체주는 반등[63]했으며, 코스피는 7,000선 턱밑에서 주춤하며 개인 투자자 이탈이 지속[69][70]되고 있다. 미국 노동절 연휴 기간 휘발유 가격이 갤런당 4.14달러로 연휴 최고가를 기록[67]했으며, ECB는 물가 반등의 배후로 호르무즈 차질을 지목하며 공급 충격으로 규정[107]했다.</w:t>
      </w:r>
    </w:p>
    <w:p>
      <w:pPr>
        <w:pStyle w:val="Heading3"/>
      </w:pPr>
      <w:r>
        <w:t>수산물  (HIGH 0 / MEDIUM 6)</w:t>
      </w:r>
    </w:p>
    <w:p>
      <w:r>
        <w:rPr>
          <w:b/>
        </w:rPr>
        <w:t>🇰🇷 국내 영향</w:t>
      </w:r>
    </w:p>
    <w:p>
      <w:r>
        <w:t>동해 오징어 어획량이 85% 감소한 것으로 나타나 공급 부족이 심각한 수준[71]이며, 추석 대목을 앞두고 고수온 후유증으로 양식 어민들의 시름이 깊어지고 있다[72]. 고수온으로 양식 물고기 떼죽음이 발생하고 9월에도 폐사가 이어질 것으로 전망[73]되며, 경남 양식장 고수온 피해액이 205억 원을 넘어선 것으로 집계[74][75][76]되었다.</w:t>
      </w:r>
    </w:p>
    <w:p>
      <w:pPr>
        <w:pStyle w:val="Heading3"/>
      </w:pPr>
      <w:r>
        <w:t>해운  (HIGH 5 / MEDIUM 9)</w:t>
      </w:r>
    </w:p>
    <w:p>
      <w:r>
        <w:rPr>
          <w:b/>
        </w:rPr>
        <w:t>🌐 해외 상황</w:t>
      </w:r>
    </w:p>
    <w:p>
      <w:r>
        <w:t>카타르가 수주 만에 처음으로 호르무즈 해협을 통과하는 LNG 선적을 수출[77]했다.</w:t>
      </w:r>
    </w:p>
    <w:p>
      <w:r>
        <w:rPr>
          <w:b/>
        </w:rPr>
        <w:t>🇰🇷 국내 영향</w:t>
      </w:r>
    </w:p>
    <w:p>
      <w:r>
        <w:t>카타르 LNG 운반선이 7월 이후 처음으로 호르무즈 해협을 통과[79][80]한 것이 확인되었다. HMM은 브라질 최대 광산업체 발레와 4.7조 원 규모의 25년 장기운송계약을 체결[82][83][84][86][87]해 벌크선 사업 체질 개선과 고정 수익원 확보에 나섰다. 국내 정기선사들은 친환경 선박 전환을 추진하며 원자력 선박까지 검토하는 것으로 나타났다[85].</w:t>
      </w:r>
    </w:p>
    <w:p>
      <w:pPr>
        <w:pStyle w:val="Heading3"/>
      </w:pPr>
      <w:r>
        <w:t>기타 산업  (HIGH 4 / MEDIUM 25)</w:t>
      </w:r>
    </w:p>
    <w:p>
      <w:r>
        <w:rPr>
          <w:b/>
        </w:rPr>
        <w:t>🌐 해외 상황</w:t>
      </w:r>
    </w:p>
    <w:p>
      <w:r>
        <w:t>골드만삭스는 호르무즈 차질, 흑해 분쟁, 엘니뇨 리스크가 동시에 충돌하며 식량 위기 가능성을 경고[88]했다. TotalEnergies는 파푸아 LNG 프로젝트의 최종 투자 결정(FID)을 향한 결정적 조치를 취했다[97].</w:t>
      </w:r>
    </w:p>
    <w:p>
      <w:r>
        <w:rPr>
          <w:b/>
        </w:rPr>
        <w:t>🇰🇷 국내 영향</w:t>
      </w:r>
    </w:p>
    <w:p>
      <w:r>
        <w:t>한국 정부는 미국과의 350억 달러 투자 협약 하에 텍사스 LNG 발전 프로젝트를 포함한 223억 달러 규모의 에너지 투자를 추진[98][101]하고 있다. 포스코 노조는 9일부터 48시간 부분파업을 강행하기로 했으며[104][105], 포스코는 비상경영 체제에 돌입[106]했다. 중남미 슈퍼 엘니뇨 우려로 최대 1,600만 명이 식량 위기에 처할 수 있다는 전망[102]이 나왔으며, K푸드 수출 확대에 따른 원재료 리스크도 커지고 있다[100].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2975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82</w:t>
            </w:r>
          </w:p>
        </w:tc>
        <w:tc>
          <w:tcPr>
            <w:tcW w:type="dxa" w:w="2946"/>
          </w:tcPr>
          <w:p>
            <w:r>
              <w:t>2.8%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273</w:t>
            </w:r>
          </w:p>
        </w:tc>
        <w:tc>
          <w:tcPr>
            <w:tcW w:type="dxa" w:w="2946"/>
          </w:tcPr>
          <w:p>
            <w:r>
              <w:t>9.2%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469</w:t>
            </w:r>
          </w:p>
        </w:tc>
        <w:tc>
          <w:tcPr>
            <w:tcW w:type="dxa" w:w="2946"/>
          </w:tcPr>
          <w:p>
            <w:r>
              <w:t>15.8%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2151</w:t>
            </w:r>
          </w:p>
        </w:tc>
        <w:tc>
          <w:tcPr>
            <w:tcW w:type="dxa" w:w="2946"/>
          </w:tcPr>
          <w:p>
            <w:r>
              <w:t>72.3%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