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2026-10-29</w:t>
      </w:r>
    </w:p>
    <w:p>
      <w:pPr>
        <w:jc w:val="center"/>
      </w:pPr>
      <w:r>
        <w:rPr>
          <w:color w:val="808080"/>
          <w:sz w:val="18"/>
        </w:rPr>
        <w:t>생성 모델: claude-sonnet-4-6  |  HIGH+MEDIUM 340건 (해외 239건 / 국내 101건)</w:t>
      </w:r>
    </w:p>
    <w:p/>
    <w:p>
      <w:pPr>
        <w:pStyle w:val="Heading2"/>
      </w:pPr>
      <w:r>
        <w:t>오늘의 핵심</w:t>
      </w:r>
    </w:p>
    <w:p>
      <w:r>
        <w:t>호르무즈 해협에서 이란 혁명수비대가 유조선 3척이 기뢰에 충돌해 화재가 발생했다고 주장했으며[1][23][29], UKMTO도 해협 인근 선박 화재를 독립적으로 확인했다[33][34]. 이란은 지역 내 전투가 종료될 때까지 호르무즈 해협을 봉쇄 상태로 유지하겠다고 위협했고[18][21], 이란 제1부통령은 봉쇄를 이란의 환승 허브 부상을 가속화하는 수단으로 활용하겠다고 언급했다[12]. IRGC는 호르무즈 해협 상공에서 미국 MQ-1 드론 14대를 격추했다고 주장했으며[4], 미국은 드론 피격 주장을 부인했다[1]. 한국은 항공기를 포함한 호르무즈 파병 옵션을 검토 중인 것으로 보도됐고[8], 이재명 대통령은 빈 살만 사우디 왕세자와 통화해 전쟁 중 원유 최우선 공급 협력에 감사를 표했다[22][24][25]. 흑해에서는 그리스 국적 컨테이너선이 불가리아 해안 인근에서 해상 드론 3대에 피격돼 침몰했으며 승조원 18명은 전원 대피했다[32][40][41]. 국제유가는 미·이란 평화협상 재개 기대감에 하락해 브렌트유가 배럴당 113.96달러로 24시간 대비 1.8% 하락했고[70][74], WTI는 100달러선에서 거래됐다[77][80]. SK이노베이션은 3분기 영업이익 3조 7,043억 원으로 분기 역대 최대 실적을 기록했다[75][79]. 발틱건화물운임지수(BDI)는 2,712포인트로 60포인트 상승했으며[46], 미국 운임 지급 지수는 5년 최고치를 기록했다[45]. 국내에서는 올해 북극항로를 통과해 울산항에 입항한 선박이 4척으로 역대 최다를 기록했다[93][95][96].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68건</w:t>
            </w:r>
          </w:p>
        </w:tc>
        <w:tc>
          <w:tcPr>
            <w:tcW w:type="dxa" w:w="2209"/>
          </w:tcPr>
          <w:p>
            <w:r>
              <w:t>▲59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▼17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40건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28건</w:t>
            </w:r>
          </w:p>
        </w:tc>
        <w:tc>
          <w:tcPr>
            <w:tcW w:type="dxa" w:w="2209"/>
          </w:tcPr>
          <w:p>
            <w:r>
              <w:t>▲24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컨테이너선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88 / MEDIUM 57)</w:t>
      </w:r>
    </w:p>
    <w:p>
      <w:r>
        <w:rPr>
          <w:b/>
        </w:rPr>
        <w:t>🌐 해외 상황</w:t>
      </w:r>
    </w:p>
    <w:p>
      <w:r>
        <w:t>이란 혁명수비대는 호르무즈 해협에서 유조선 3척이 기뢰에 충돌해 화재가 발생했다고 주장했으며[1][3], UKMTO는 오만 무산담 반도 인근 및 카사브 해역에서 선박 화재를 목격했다는 신고를 접수했다[36][37][38]. 이란은 지역 내 전투가 종료될 때까지 호르무즈 해협 봉쇄를 유지하겠다고 위협했고[18][21], 이란 제1부통령은 봉쇄를 이란의 환승 허브 부상 가속화 수단으로 활용하겠다고 밝혔다[12]. IRGC는 호르무즈 해협 동쪽에서 미국 MQ-1 드론을 요격했다고 주장했으나[4][13], 미국은 드론 피격 주장을 부인했다[1]. 쿠웨이트 석유공사는 호르무즈 교란 속에서 사상 최초의 DES 납사 장기 계약을 체결했다[112]. 사우디아라비아 주도 연합군은 후티 미사일을 요격했다고 밝혔으며[2][5][6][16], 후티는 사우디 공습으로 27명이 사망했다고 주장했다[2]. 후티의 아덴 공항 미사일 공격으로 예멘 항공 안전 우려가 제기됐고[14], 흑해에서는 불가리아 해안 인근에서 그리스 컨테이너선이 해상 드론에 피격돼 침몰했다[10]. CENTCOM 사령관은 트럼프 대통령에게 이란 군사 옵션을 브리핑했다[15]. 유엔의 후티 위협 대응 실패로 유엔의 신뢰성과 정당성이 위기에 처했다는 지적도 나왔다[11].</w:t>
      </w:r>
    </w:p>
    <w:p>
      <w:r>
        <w:rPr>
          <w:b/>
        </w:rPr>
        <w:t>🇰🇷 국내 영향</w:t>
      </w:r>
    </w:p>
    <w:p>
      <w:r>
        <w:t>한국은 항공기를 포함한 호르무즈 해협 파병 옵션을 검토 중인 것으로 보도됐다[8]. 이재명 대통령은 빈 살만 사우디 왕세자와 통화해 전쟁 피해에 깊은 위로를 전하고 전쟁 중에도 원유 최우선 공급 협력을 이어가는 데 감사를 표했다[22][24][25][59]. 한국과 독일은 '강화된 전략적 동반자 관계'를 수립하고 경제·안보 협력 확대에 합의했다[27]. 국내 언론은 이란 공격 카드 재부상에 따른 고유가 공포를 집중 보도했다[28]. 이란 혁명수비대의 유조선 기뢰 피격 주장과 UKMTO의 화재 목격 신고가 국내에도 상세히 보도됐다[29][30].</w:t>
      </w:r>
    </w:p>
    <w:p>
      <w:pPr>
        <w:pStyle w:val="Heading3"/>
      </w:pPr>
      <w:r>
        <w:t>해양안전  (HIGH 14 / MEDIUM 13)</w:t>
      </w:r>
    </w:p>
    <w:p>
      <w:r>
        <w:rPr>
          <w:b/>
        </w:rPr>
        <w:t>🌐 해외 상황</w:t>
      </w:r>
    </w:p>
    <w:p>
      <w:r>
        <w:t>UKMTO는 호르무즈 해협 오만 해안 인근에서 선박이 화재 중인 것을 목격했다는 신고를 접수했으며[33][34][36], 해당 선박 승조원은 대피 완료된 것으로 확인됐다[35]. 불가리아 해안 인근 흑해에서는 그리스 국적 컨테이너선이 해상 드론 공격을 받아 침몰했다[32]. 독일 브레머하펜에서는 크루즈선이 컨테이너선과 접촉해 구명정이 파손되고 컨테이너선에 약 10미터 균열이 발생하는 사고가 있었다[39].</w:t>
      </w:r>
    </w:p>
    <w:p>
      <w:r>
        <w:rPr>
          <w:b/>
        </w:rPr>
        <w:t>🇰🇷 국내 영향</w:t>
      </w:r>
    </w:p>
    <w:p>
      <w:r>
        <w:t>불가리아 앞 흑해에서 그리스 컨테이너선이 해상 드론 3대에 피격돼 침몰했으며 승조원 18명은 전원 긴급 대피했다[40][41][43]. 국내 해양에너지 기업은 유관기관 합동 전사 비상대응 훈련을 실시했다[42].</w:t>
      </w:r>
    </w:p>
    <w:p>
      <w:pPr>
        <w:pStyle w:val="Heading3"/>
      </w:pPr>
      <w:r>
        <w:t>운임·물류비  (HIGH 1 / MEDIUM 11)</w:t>
      </w:r>
    </w:p>
    <w:p>
      <w:r>
        <w:rPr>
          <w:b/>
        </w:rPr>
        <w:t>🌐 해외 상황</w:t>
      </w:r>
    </w:p>
    <w:p>
      <w:r>
        <w:t>호르무즈 해협 충격으로 인한 해양 운임 영향은 다소 완화됐으나 우회 항로 이용과 항만 체류 시간은 여전히 높은 수준을 유지하고 있다[44]. 발틱건화물운임지수(BDI)는 2,712포인트로 60포인트 상승하며 3일간의 하락세를 끊었다[46][49]. 미국 은행 화물 지급 지수는 화물 수요 정체 속에서도 5년 최고치를 기록했다[45]. 해운사들은 상승하는 운임을 활용해 기록적인 이익을 게시하고 있다[52]. 일본은 유조선 운임 급등으로 새로운 식품 가격 인상 파고에 대비하고 있다[53]. 인도 정제업체들은 해운 비용 급등으로 인해 원유 조달 방식을 인도 조건(DES) 중심으로 전환하고 있다[48]. 카스피해 곡물 물류는 심해 환적을 통해 운하 흘수 제약을 우회하는 방식이 부각됐다[50].</w:t>
      </w:r>
    </w:p>
    <w:p>
      <w:r>
        <w:rPr>
          <w:b/>
        </w:rPr>
        <w:t>🇰🇷 국내 영향</w:t>
      </w:r>
    </w:p>
    <w:p>
      <w:r>
        <w:t>컨테이너 운임은 보합세를 유지한 가운데 건화물선 운임은 철광석 수요 증가와 선복 감소 영향으로 반등했다[55]. 해운 업계에서는 선박 대기 시간 자체도 비용이라는 점이 주목받고 있다[54].</w:t>
      </w:r>
    </w:p>
    <w:p>
      <w:pPr>
        <w:pStyle w:val="Heading3"/>
      </w:pPr>
      <w:r>
        <w:t>항만·화물  (HIGH 1 / MEDIUM 8)</w:t>
      </w:r>
    </w:p>
    <w:p>
      <w:r>
        <w:rPr>
          <w:b/>
        </w:rPr>
        <w:t>🌐 해외 상황</w:t>
      </w:r>
    </w:p>
    <w:p>
      <w:r>
        <w:t>카자흐스탄의 한국향 페로합금 수출이 올해 1~8월 54% 감소했다[57]. 캐나다 정부는 석탄 수출 약속을 철회한 것으로 감사원 보고서에서 확인됐다[56]. LNG 터미널 운영사는 항만 비용 절감을 위해 화물 적기 반출을 촉구했다[58].</w:t>
      </w:r>
    </w:p>
    <w:p>
      <w:r>
        <w:rPr>
          <w:b/>
        </w:rPr>
        <w:t>🇰🇷 국내 영향</w:t>
      </w:r>
    </w:p>
    <w:p>
      <w:r>
        <w:t>이재명 대통령은 빈 살만 왕세자와의 통화에서 전쟁 중 원유 최우선 공급 협력에 감사를 표했다[59]. 울산 무역수지 재산출 결과 수입액이 81억 달러 더 늘어난 것으로 나타났고[60], 울산 제조업 생산은 4.8% 감소했으나 조선업만 선방했다[61]. 동북아 오일허브 남신항 2단계 개발이 속도를 내고 있으며[62], 부산항 3분기 물동량은 667만 TEU로 전년 동기 대비 11.2% 증가했다[64]. 울산항 핵심 기능 침해 시 통합에 반대한다는 지역 의견도 제기됐다[63].</w:t>
      </w:r>
    </w:p>
    <w:p>
      <w:pPr>
        <w:pStyle w:val="Heading3"/>
      </w:pPr>
      <w:r>
        <w:t>경제·금융  (HIGH 7 / MEDIUM 69)</w:t>
      </w:r>
    </w:p>
    <w:p>
      <w:r>
        <w:rPr>
          <w:b/>
        </w:rPr>
        <w:t>🌐 해외 상황</w:t>
      </w:r>
    </w:p>
    <w:p>
      <w:r>
        <w:t>브렌트유는 배럴당 113.96달러로 24시간 대비 1.8% 하락했으며[70], WTI는 100달러 선 근방에서 거래됐다[74]. 미·이란 평화협상 재개 기대감이 유가 하락 요인으로 작용했으나 중동 갈등 확대에 따른 상승 위험도 지속되고 있다[68][73]. 인도 코탁은 서아시아 분쟁을 반영해 2027 회계연도 원유 가격 전망을 배럴당 100달러로 상향했다[71]. 아제르바이잔 중앙은행은 2026년 자국 원유 가격을 배럴당 92.8달러로 전망했다[66]. 유럽은 한파 예보로 천연가스 가격이 메가와트시당 100유로에 근접하는 조기 동절기 스트레스 테스트에 직면했다[65]. 미국 3분기 GDP는 3.4% 성장해 예상을 웃돌았다[83].</w:t>
      </w:r>
    </w:p>
    <w:p>
      <w:r>
        <w:rPr>
          <w:b/>
        </w:rPr>
        <w:t>🇰🇷 국내 영향</w:t>
      </w:r>
    </w:p>
    <w:p>
      <w:r>
        <w:t>미·이란 평화협상 재개 기대에 국제유가가 하락하며 WTI는 100달러선에서 거래됐다[77]. SK이노베이션은 3분기 영업이익 3조 7,043억 원으로 분기 역대 최대 실적을 달성했으며[75][79], 연말까지 정유 사업의 견조한 실적을 기대한다고 밝혔다[78]. 달러-원 환율은 뉴욕 시장에서 1,330원 후반대에서 거래됐다[81]. 대한전선은 3분기 수주잔고 4조 원으로 최대치를 기록했으나 환율과 중동 상황이 수익성 변수로 지목됐다[82]. 미국 연준에 이어 ECB도 금리를 동결해 예금금리를 연 2.50%로 유지했다[76]. 미국 9월 PCE 물가는 3.6% 상승해 예상을 하회했으나 12월 금리 인상론이 지속되고 있다[84].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해파리 출현 시기가 1.5개월 앞당겨지면서 남해 멸치 어획량이 25% 감소한 것으로 나타났다[85][86].</w:t>
      </w:r>
    </w:p>
    <w:p>
      <w:pPr>
        <w:pStyle w:val="Heading3"/>
      </w:pPr>
      <w:r>
        <w:t>해운  (HIGH 0 / MEDIUM 18)</w:t>
      </w:r>
    </w:p>
    <w:p>
      <w:r>
        <w:rPr>
          <w:b/>
        </w:rPr>
        <w:t>🌐 해외 상황</w:t>
      </w:r>
    </w:p>
    <w:p>
      <w:r>
        <w:t>CENTCOM은 호르무즈 해협 항로가 기뢰로부터 안전하다고 밝혔다[90]. 걸프 산유국들은 해상 보안 위험 증가에 대응해 자체 유조선 선단을 확충하고 있다[89]. 홍해 지부티에서 VLSFO 벙커링이 재개됐다[88]. 글로벌 해운 일정 신뢰도는 9월 기준 50.6%로 개선됐으며[91], 뱅크오브아메리카는 홍해 통과 선박 회복세를 추적하고 있다[92]. 풍력 추진 장치를 탑재한 LNG 이중연료 석탄 운반선 '마이즈루 카제노마이'가 인도됐다[87].</w:t>
      </w:r>
    </w:p>
    <w:p>
      <w:r>
        <w:rPr>
          <w:b/>
        </w:rPr>
        <w:t>🇰🇷 국내 영향</w:t>
      </w:r>
    </w:p>
    <w:p>
      <w:r>
        <w:t>올해 북극항로를 통과해 울산항에 입항한 선박이 4척으로 역대 최다를 기록했으며[93][95][96], 팬스타 아크로호의 북극항로 50일 항해가 해운 새 역사로 평가됐다[101]. 남부발전은 글로벌 자원전략 컨퍼런스를 개최해 북극항로 활용 방안을 논의했다[97]. 부산대와 미국 선급협회(ABS)는 액화가스 운송·조선 분야 협력에 합의했다[98]. 인터지스는 4,600톤급 벌크선을 추가 확보해 아시아 해운시장 공략을 강화한다[99]. SK브로드밴드는 LS마린솔루션과 아시아 해저케이블 긴급 복구 협력 체계를 구축했다[94]. 팬오션은 3분기 실적 NDR을 11월 3일부터 사흘간 개최할 예정이다[102].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항공화물 시장은 연평균 3.5% 성장이 전망됐다[103].</w:t>
      </w:r>
    </w:p>
    <w:p>
      <w:r>
        <w:rPr>
          <w:b/>
        </w:rPr>
        <w:t>🇰🇷 국내 영향</w:t>
      </w:r>
    </w:p>
    <w:p>
      <w:r>
        <w:t>인천공항은 브뤼셀공항과 바이오 물류 협력을 확대하고 글로벌 화물 유치에 나선다[104].</w:t>
      </w:r>
    </w:p>
    <w:p>
      <w:pPr>
        <w:pStyle w:val="Heading3"/>
      </w:pPr>
      <w:r>
        <w:t>기타 산업  (HIGH 4 / MEDIUM 45)</w:t>
      </w:r>
    </w:p>
    <w:p>
      <w:r>
        <w:rPr>
          <w:b/>
        </w:rPr>
        <w:t>🌐 해외 상황</w:t>
      </w:r>
    </w:p>
    <w:p>
      <w:r>
        <w:t>쿠웨이트 석유공사는 호르무즈 교란 속에서 사상 최초의 DES 납사 장기 계약을 체결했다[112]. 사우디아라비아 대형 정유 단지에서 공습 피해가 확인됐으며[114], 걸프 지역 정유·LNG 시설 피해로 회복이 지연될 것으로 전망됐다[113]. 중국의 석유화학 재고가 미·이란 전쟁으로 인한 원료 공급 차단으로 고갈에 근접하면서 도매 가격 인플레이션이 발생하고 있다[110]. 말레이시아는 안정적인 천연가스 공급을 위한 글로벌 협력 강화를 촉구했다[109]. 러시아는 미국 쿼터 충족을 위해 석유 수출 금지를 연장했다[106]. 탄자니아에서 10년 만에 첫 천연가스 발견이 이루어졌다[105]. 필리핀에서는 페소화 약세로 비료 수입 가격이 상승해 조달 예산이 초과되는 문제가 발생했다[107].</w:t>
      </w:r>
    </w:p>
    <w:p>
      <w:r>
        <w:rPr>
          <w:b/>
        </w:rPr>
        <w:t>🇰🇷 국내 영향</w:t>
      </w:r>
    </w:p>
    <w:p>
      <w:r>
        <w:t>SK이노베이션을 비롯한 정유사들은 석유제품 공급난 속에서 정제마진이 최고치를 기록하며 수혜를 받고 있다[117]. 한국과 독일은 에너지 파트너십 구축을 포함한 하이테크 파트너십을 추진한다[118][119]. 한국가스공사와 가스기술공사는 LNG·수소 사업 협력 강화에 나섰다[116]. 식약처는 중동발 공급망 위기 대응을 특별 성과로 선정했다[123]. 미국의 프로판 수출이 상반기 하루 200만 배럴로 11% 증가해 사상 최대를 기록했다[124]. 아프로디테 가스전의 회수 가능량은 최대 1억 8,000만 배럴로 추정됐다[121]. EU는 연료 위기에 대응해 정유 산업 쇠퇴를 막고 역내 생산을 확대하는 방안을 추진하고 있다[122].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2429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115</w:t>
            </w:r>
          </w:p>
        </w:tc>
        <w:tc>
          <w:tcPr>
            <w:tcW w:type="dxa" w:w="2946"/>
          </w:tcPr>
          <w:p>
            <w:r>
              <w:t>4.7%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225</w:t>
            </w:r>
          </w:p>
        </w:tc>
        <w:tc>
          <w:tcPr>
            <w:tcW w:type="dxa" w:w="2946"/>
          </w:tcPr>
          <w:p>
            <w:r>
              <w:t>9.3%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421</w:t>
            </w:r>
          </w:p>
        </w:tc>
        <w:tc>
          <w:tcPr>
            <w:tcW w:type="dxa" w:w="2946"/>
          </w:tcPr>
          <w:p>
            <w:r>
              <w:t>17.3%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1668</w:t>
            </w:r>
          </w:p>
        </w:tc>
        <w:tc>
          <w:tcPr>
            <w:tcW w:type="dxa" w:w="2946"/>
          </w:tcPr>
          <w:p>
            <w:r>
              <w:t>68.7%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