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2026-04-09</w:t>
      </w:r>
    </w:p>
    <w:p>
      <w:pPr>
        <w:jc w:val="center"/>
      </w:pPr>
      <w:r>
        <w:rPr>
          <w:color w:val="808080"/>
          <w:sz w:val="18"/>
        </w:rPr>
        <w:t>생성 모델: claude-sonnet-4-6  |  HIGH+MEDIUM 602건 (해외 231건 / 국내 371건)</w:t>
      </w:r>
    </w:p>
    <w:p/>
    <w:p>
      <w:pPr>
        <w:pStyle w:val="Heading2"/>
      </w:pPr>
      <w:r>
        <w:t>오늘의 핵심</w:t>
      </w:r>
    </w:p>
    <w:p>
      <w:r>
        <w:t>호르무즈 해협은 미·이란 휴전 합의에도 불구하고 사실상 봉쇄 상태가 지속되고 있으며, 이란은 하루 통과 선박을 최대 15척으로 제한하는 조건부 개방 방침을 유지하고 있다. UAE 석유 CEO는 해협이 개방되지 않았다고 공식 확인했으며, 영국 언론은 이란의 해상 기뢰 위협을 보도하고 미 해군 MQ-4C 트리톤 드론(2억 달러 규모)이 해협 상공에서 실종되는 사태도 발생했다. 이란은 통과 선박에 배럴당 1달러의 통행료 부과를 제안했으며, 미국 석유업계는 이 경우 선적당 최대 250만 달러의 비용이 추가될 수 있다고 경고했고 IMO는 '위험한 선례'라고 비판했다. WTI 유가는 호르무즈 재개방 지연으로 배럴당 100달러를 재돌파했으며, 원·달러 환율도 10원 이상 반등하는 등 국내 금융시장에도 충격이 전달되고 있다. 국내에서는 나프타 공급 불안으로 의료용 주사기 재고가 한 달치에 불과하고 식품업계 포장재 재고도 2주분에 그치는 등 산업 전반의 원자재 수급 위기가 현실화되고 있으며, 현대차는 부품 조달선을 희망봉 우회 항로로 전환했다.</w:t>
      </w:r>
    </w:p>
    <w:p/>
    <w:p>
      <w:pPr>
        <w:pStyle w:val="Heading2"/>
      </w:pPr>
      <w:r>
        <w:t>카테고리별 분석</w:t>
      </w:r>
    </w:p>
    <w:p>
      <w:pPr>
        <w:pStyle w:val="Heading3"/>
      </w:pPr>
      <w:r>
        <w:t>안보·군사  (HIGH 94 / MEDIUM 153)</w:t>
      </w:r>
    </w:p>
    <w:p>
      <w:r>
        <w:rPr>
          <w:b/>
        </w:rPr>
        <w:t>🌐 해외 상황</w:t>
      </w:r>
    </w:p>
    <w:p>
      <w:r>
        <w:t>미·이란 휴전은 레바논 문제와 호르무즈 해협 통제권 이견으로 불안정한 상태가 지속되고 있으며, 복수의 미국·인도 매체가 휴전 붕괴 가능성을 보도했다. UAE 석유 CEO는 호르무즈 해협이 개방되지 않았으며 접근이 제한되고 있다고 공식 확인했고, 이란은 해협 폐쇄 이유를 해명하려 시도했다. 영국 언론은 이란이 해협 '위험 구역'에 해상 기뢰를 부설했다는 우려가 커지고 있다고 보도했으며, 미 해군의 2억 달러 규모 MQ-4C 트리톤 무인기가 조난 신호를 발신한 후 해협 상공에서 실종됐다. 바브엘만데브 해협에 대한 이란의 추가 제한 위협도 제기되고 있어 중동 해상 초크포인트 전반의 불안이 확산되고 있다.</w:t>
      </w:r>
    </w:p>
    <w:p>
      <w:r>
        <w:rPr>
          <w:b/>
        </w:rPr>
        <w:t>🇰🇷 국내 영향</w:t>
      </w:r>
    </w:p>
    <w:p>
      <w:r>
        <w:t>이재명 대통령은 이란 전쟁이 세계 질서를 재편할 수 있다고 언급하며 대비를 촉구했고, 한국 경제 모델의 전면 개편 필요성도 제기했다. 조현 외교부 장관과 이란 외교장관은 특사 파견에 합의하며 호르무즈 억류 선박 해법을 모색 중이다. 이란 부외무차관은 호르무즈 해협 개방을 유지하되 통항은 이란과 사전 조율이 필요하다고 밝혔으며, 독일 메르츠 총리는 유가 추가 상승 가능성을 언급하며 호르무즈 해상 임무 지원 의사를 시사했다.</w:t>
      </w:r>
    </w:p>
    <w:p>
      <w:pPr>
        <w:pStyle w:val="Heading3"/>
      </w:pPr>
      <w:r>
        <w:t>해양안전  (HIGH 0 / MEDIUM 1)</w:t>
      </w:r>
    </w:p>
    <w:p>
      <w:r>
        <w:rPr>
          <w:b/>
        </w:rPr>
        <w:t>🇰🇷 국내 영향</w:t>
      </w:r>
    </w:p>
    <w:p>
      <w:r>
        <w:t>SM그룹 대한해운과 KLCSM은 LNG선 안전점검을 실시하며 경영진이 현장 점검을 강화했다.</w:t>
      </w:r>
    </w:p>
    <w:p>
      <w:pPr>
        <w:pStyle w:val="Heading3"/>
      </w:pPr>
      <w:r>
        <w:t>운임·물류비  (HIGH 25 / MEDIUM 18)</w:t>
      </w:r>
    </w:p>
    <w:p>
      <w:r>
        <w:rPr>
          <w:b/>
        </w:rPr>
        <w:t>🌐 해외 상황</w:t>
      </w:r>
    </w:p>
    <w:p>
      <w:r>
        <w:t>호르무즈 해협 선박 통행은 휴전에도 불구하고 사실상 정지 상태에 가까우며, Xeneta는 2주간의 휴전 기간이 컨테이너 해운 흐름을 회복하기에는 너무 짧다고 평가했다. 이란이 통과 선박에 배럴당 1달러의 통행료 부과를 제안한 것에 대해 IMO는 '위험한 선례'라고 경고했고, 미국 석유업계는 선적당 최대 250만 달러의 비용 증가 가능성을 경고했다. 글렌코어와 대만 CPC는 호르무즈 상황에 대응해 유조선을 용선 확보했으며, 중국 매체는 연료 공급 및 항로 긴축으로 운임이 상승하고 있다고 보도했다.</w:t>
      </w:r>
    </w:p>
    <w:p>
      <w:r>
        <w:rPr>
          <w:b/>
        </w:rPr>
        <w:t>🇰🇷 국내 영향</w:t>
      </w:r>
    </w:p>
    <w:p>
      <w:r>
        <w:t>이란은 휴전 중 호르무즈 통과 선박을 하루 최대 15척으로 제한하는 조건부 개방 방침을 유지하고 있으며, 이란은 통과 선박에 비트코인으로 통행세를 부과하는 제재 회피 결제 방안도 제시한 것으로 보도됐다. 산업부는 호르무즈 상황에 진전이 없다고 밝히며 통행료 부과 시 석유 가격이 0.5% 인상되는 효과가 있다고 분석했다. 인천항 컨테이너 물동량도 호르무즈 봉쇄에 따른 해상운임 상승 압력을 받고 있는 것으로 보도됐다.</w:t>
      </w:r>
    </w:p>
    <w:p>
      <w:pPr>
        <w:pStyle w:val="Heading3"/>
      </w:pPr>
      <w:r>
        <w:t>항만·화물  (HIGH 4 / MEDIUM 6)</w:t>
      </w:r>
    </w:p>
    <w:p>
      <w:r>
        <w:rPr>
          <w:b/>
        </w:rPr>
        <w:t>🌐 해외 상황</w:t>
      </w:r>
    </w:p>
    <w:p>
      <w:r>
        <w:t>카타르 LNG 수출 차질이 지속되는 가운데 유조선들이 호르무즈 해협을 우회하고 있으며, 인도는 LPG 1만5,400톤을 실은 선박이 걸프 지역에서 도착했다고 밝히며 자국 내 LPG 부족은 없다고 발표했다. 호주는 장기 공급 차질에 대비해 Ampol·Viva Energy와 연료 공급 협약을 체결하고 연료 비축을 강화하고 있다.</w:t>
      </w:r>
    </w:p>
    <w:p>
      <w:r>
        <w:rPr>
          <w:b/>
        </w:rPr>
        <w:t>🇰🇷 국내 영향</w:t>
      </w:r>
    </w:p>
    <w:p>
      <w:r>
        <w:t>유조선 7척이 한국 원유를 싣고 호르무즈 통항 대기 중인 것으로 보도됐으며, 글렌코어와 대만 CPC는 호르무즈 재개방 기대감에 중동산 원유 선적선을 확보했다. 새만금 신항만 2선석이 올해 개장 예정이며 배후부지 재정 전환이 시급하다는 지적이 나왔고, 부산진해경제자유구역청은 3,900만 달러 규모의 투자협약을 체결했다. 군산항 특송화물 통관장은 물동량 급증으로 시설 확충에 나섰다.</w:t>
      </w:r>
    </w:p>
    <w:p>
      <w:pPr>
        <w:pStyle w:val="Heading3"/>
      </w:pPr>
      <w:r>
        <w:t>경제·금융  (HIGH 18 / MEDIUM 153)</w:t>
      </w:r>
    </w:p>
    <w:p>
      <w:r>
        <w:rPr>
          <w:b/>
        </w:rPr>
        <w:t>🌐 해외 상황</w:t>
      </w:r>
    </w:p>
    <w:p>
      <w:r>
        <w:t>WTI 유가는 호르무즈 봉쇄 지속으로 배럴당 97달러 이상으로 반등했으며, 트럼프의 2주 휴전 발표 직후 92달러까지 하락했다가 휴전 불안정으로 다시 100달러 돌파 가능성이 제기되고 있다. IMF는 중동 전쟁 영향으로 글로벌 성장 전망을 하향 조정할 것으로 보도됐으며, 미국 3월 CPI 보고서가 중동 에너지 충격과 맞물려 인플레이션 우려를 키우고 있다. 제재를 받은 러시아 LNG가 아시아에서 대폭 할인된 가격에 구매자를 찾고 있으며, 4월 미국 원유 수출은 호르무즈 봉쇄로 인한 아시아 수요 급증으로 사상 최대인 하루 520만 배럴에 달할 것으로 전망됐다.</w:t>
      </w:r>
    </w:p>
    <w:p>
      <w:r>
        <w:rPr>
          <w:b/>
        </w:rPr>
        <w:t>🇰🇷 국내 영향</w:t>
      </w:r>
    </w:p>
    <w:p>
      <w:r>
        <w:t>WTI 유가가 호르무즈 재개방 지연으로 배럴당 100달러를 재돌파했으며, 원·달러 환율도 호르무즈 봉쇄 영향으로 10원 이상 반등 마감했다. 뉴욕증시는 호르무즈 재개방 지연 소식에 하락 출발하며 다우지수가 0.21% 하락했다. 미국산 원유 수출이 사상 최대를 기록할 것으로 전망되면서 호르무즈 봉쇄로 인한 중동산 원유 공백을 미국산이 대체하는 구도가 형성되고 있으며, 한국의 원유 조달 비용 상승 압력이 지속되고 있다.</w:t>
      </w:r>
    </w:p>
    <w:p>
      <w:pPr>
        <w:pStyle w:val="Heading3"/>
      </w:pPr>
      <w:r>
        <w:t>수산물  (HIGH 0 / MEDIUM 2)</w:t>
      </w:r>
    </w:p>
    <w:p>
      <w:r>
        <w:rPr>
          <w:b/>
        </w:rPr>
        <w:t>🇰🇷 국내 영향</w:t>
      </w:r>
    </w:p>
    <w:p>
      <w:r>
        <w:t>노르웨이 고등어부터 서해 꽃게까지 중동 사태의 영향이 국내 밥상 물가에 미치고 있다고 보도됐다. 면세유 가격 폭등으로 어업 중단 우려까지 제기되고 있다.</w:t>
      </w:r>
    </w:p>
    <w:p>
      <w:pPr>
        <w:pStyle w:val="Heading3"/>
      </w:pPr>
      <w:r>
        <w:t>해운  (HIGH 11 / MEDIUM 35)</w:t>
      </w:r>
    </w:p>
    <w:p>
      <w:r>
        <w:rPr>
          <w:b/>
        </w:rPr>
        <w:t>🌐 해외 상황</w:t>
      </w:r>
    </w:p>
    <w:p>
      <w:r>
        <w:t>중국 유조선들이 호르무즈 출구 통과를 시도하고 있으며, 중국은 3척의 선박이 해협을 통과했다고 공식 확인했다. 현대(Hyundai)는 호르무즈 봉쇄로 인해 선박을 우회 항로로 전환했으며, 약 800척의 선박이 호르무즈 통과 기회를 기다리고 있는 것으로 보도됐다. 인도 국적 선박 Green Asha가 호르무즈 해협을 통과해 JNPA에 안전 도착했으며, 캄보디아-중동 항로는 이란 분쟁 격화로 일시 운항이 중단됐다.</w:t>
      </w:r>
    </w:p>
    <w:p>
      <w:r>
        <w:rPr>
          <w:b/>
        </w:rPr>
        <w:t>🇰🇷 국내 영향</w:t>
      </w:r>
    </w:p>
    <w:p>
      <w:r>
        <w:t>이란은 기뢰를 피하기 위한 호르무즈 대체 항로를 발표했으며, 한국 선박 26척이 귀환 중인 것으로 보도됐다. 현대차는 호르무즈 봉쇄로 인해 부품 조달선을 희망봉 우회 항로로 전환했으며, 무뇨스 사장은 공급망 차질을 면밀히 모니터링하고 있다고 밝혔다. 한화오션은 초대형 원유운반선(VLCC) 2척을 3,933억 원 규모로 수주했으며, 선원 및 선박 귀환이 가장 시급한 과제로 외교 역량 총동원이 촉구되고 있다.</w:t>
      </w:r>
    </w:p>
    <w:p>
      <w:pPr>
        <w:pStyle w:val="Heading3"/>
      </w:pPr>
      <w:r>
        <w:t>물류  (HIGH 0 / MEDIUM 5)</w:t>
      </w:r>
    </w:p>
    <w:p>
      <w:r>
        <w:rPr>
          <w:b/>
        </w:rPr>
        <w:t>🇰🇷 국내 영향</w:t>
      </w:r>
    </w:p>
    <w:p>
      <w:r>
        <w:t>UPS는 인천공항 허브를 4배 확장해 아시아·유럽발 배송을 최대 2일 단축할 계획이라고 밝혔다. 충북중기청은 중동 사태로 피해를 입은 소상공인을 대상으로 긴급 점검을 실시했다.</w:t>
      </w:r>
    </w:p>
    <w:p>
      <w:pPr>
        <w:pStyle w:val="Heading3"/>
      </w:pPr>
      <w:r>
        <w:t>기타 산업  (HIGH 13 / MEDIUM 64)</w:t>
      </w:r>
    </w:p>
    <w:p>
      <w:r>
        <w:rPr>
          <w:b/>
        </w:rPr>
        <w:t>🌐 해외 상황</w:t>
      </w:r>
    </w:p>
    <w:p>
      <w:r>
        <w:t>아시아 주요 석유화학 제품 가격은 이란 휴전에도 불구하고 높은 수준을 유지하고 있으며, 호르무즈 봉쇄로 대만의 주요 PVC 공급업체가 타격을 받아 아시아 PVC 시장이 혼란에 빠졌다. 이란 분쟁은 헬륨·알루미늄 공급에도 차질을 빚고 있으며, 일부 아시아 국가들은 에너지 배급제를 시행하고 있다고 보도됐다. 원자재 비용 급등이 PVC 및 포장 산업에 타격을 주고 있으며, 인도에서는 연료 판매 상한제가 시행되고 있다.</w:t>
      </w:r>
    </w:p>
    <w:p>
      <w:r>
        <w:rPr>
          <w:b/>
        </w:rPr>
        <w:t>🇰🇷 국내 영향</w:t>
      </w:r>
    </w:p>
    <w:p>
      <w:r>
        <w:t>IEA 총장은 호르무즈 봉쇄 충격이 수년간 지속될 것이라고 경고했다. 중동발 나프타 수급 불안으로 제약업계에 비상이 걸렸으며, 인천 의료 현장에서는 약통·주사기 품귀 현상이 발생하고 주사기 재고가 길어야 한 달치에 불과한 것으로 보도됐다. 식품업계는 포장재 재고가 2주분에 불과하다며 정부에 긴급 지원을 요청했고, 나프타 급등으로 현수막 업계는 원단값이 20% 오를 것이라고 우려했다. 구윤철 장관은 필요시 석유화학제품 긴급수급조정조치 검토를 시사했다.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2891</w:t>
            </w:r>
          </w:p>
        </w:tc>
        <w:tc>
          <w:tcPr>
            <w:tcW w:type="dxa" w:w="2946"/>
          </w:tcPr>
          <w:p>
            <w:r>
              <w:t>100.0%</w:t>
            </w:r>
          </w:p>
        </w:tc>
      </w:tr>
      <w:tr>
        <w:tc>
          <w:tcPr>
            <w:tcW w:type="dxa" w:w="2946"/>
          </w:tcPr>
          <w:p>
            <w:r>
              <w:t>HIGH</w:t>
            </w:r>
          </w:p>
        </w:tc>
        <w:tc>
          <w:tcPr>
            <w:tcW w:type="dxa" w:w="2946"/>
          </w:tcPr>
          <w:p>
            <w:r>
              <w:t>165</w:t>
            </w:r>
          </w:p>
        </w:tc>
        <w:tc>
          <w:tcPr>
            <w:tcW w:type="dxa" w:w="2946"/>
          </w:tcPr>
          <w:p>
            <w:r>
              <w:t>5.7%</w:t>
            </w:r>
          </w:p>
        </w:tc>
      </w:tr>
      <w:tr>
        <w:tc>
          <w:tcPr>
            <w:tcW w:type="dxa" w:w="2946"/>
          </w:tcPr>
          <w:p>
            <w:r>
              <w:t>MEDIUM</w:t>
            </w:r>
          </w:p>
        </w:tc>
        <w:tc>
          <w:tcPr>
            <w:tcW w:type="dxa" w:w="2946"/>
          </w:tcPr>
          <w:p>
            <w:r>
              <w:t>437</w:t>
            </w:r>
          </w:p>
        </w:tc>
        <w:tc>
          <w:tcPr>
            <w:tcW w:type="dxa" w:w="2946"/>
          </w:tcPr>
          <w:p>
            <w:r>
              <w:t>15.1%</w:t>
            </w:r>
          </w:p>
        </w:tc>
      </w:tr>
      <w:tr>
        <w:tc>
          <w:tcPr>
            <w:tcW w:type="dxa" w:w="2946"/>
          </w:tcPr>
          <w:p>
            <w:r>
              <w:t>LOW</w:t>
            </w:r>
          </w:p>
        </w:tc>
        <w:tc>
          <w:tcPr>
            <w:tcW w:type="dxa" w:w="2946"/>
          </w:tcPr>
          <w:p>
            <w:r>
              <w:t>428</w:t>
            </w:r>
          </w:p>
        </w:tc>
        <w:tc>
          <w:tcPr>
            <w:tcW w:type="dxa" w:w="2946"/>
          </w:tcPr>
          <w:p>
            <w:r>
              <w:t>14.8%</w:t>
            </w:r>
          </w:p>
        </w:tc>
      </w:tr>
      <w:tr>
        <w:tc>
          <w:tcPr>
            <w:tcW w:type="dxa" w:w="2946"/>
          </w:tcPr>
          <w:p>
            <w:r>
              <w:t>NONE</w:t>
            </w:r>
          </w:p>
        </w:tc>
        <w:tc>
          <w:tcPr>
            <w:tcW w:type="dxa" w:w="2946"/>
          </w:tcPr>
          <w:p>
            <w:r>
              <w:t>1861</w:t>
            </w:r>
          </w:p>
        </w:tc>
        <w:tc>
          <w:tcPr>
            <w:tcW w:type="dxa" w:w="2946"/>
          </w:tcPr>
          <w:p>
            <w:r>
              <w:t>64.4%</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