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2026-04-16</w:t>
      </w:r>
    </w:p>
    <w:p>
      <w:pPr>
        <w:jc w:val="center"/>
      </w:pPr>
      <w:r>
        <w:rPr>
          <w:color w:val="808080"/>
          <w:sz w:val="18"/>
        </w:rPr>
        <w:t>생성 모델: claude-sonnet-4-6  |  HIGH+MEDIUM 565건 (해외 279건 / 국내 286건)</w:t>
      </w:r>
    </w:p>
    <w:p/>
    <w:p>
      <w:pPr>
        <w:pStyle w:val="Heading2"/>
      </w:pPr>
      <w:r>
        <w:t>오늘의 핵심</w:t>
      </w:r>
    </w:p>
    <w:p>
      <w:r>
        <w:t>호르무즈 해협 봉쇄가 지속되는 가운데 미국은 이란 연계 선박을 태평양 등 전 세계로 제재 범위를 확대하고, 미 국방부는 이란이 합의하지 않을 경우 전투작전을 재개하겠다고 경고했다. 트럼프 대통령은 이달 내 합의 가능성을 언급했고 이란도 호르무즈 개방안을 제시한 것으로 보이나, 해협 물동량은 90% 급감한 상태가 지속되고 있다. 한국은 2억 7,300만 배럴의 원유와 최대 210만 톤의 나프타를 추가 확보했으며, 산업은행·수출입은행이 석유공사에 30억 달러 금융지원을 확정했다. 유류할증료는 5월 역대 최고치를 기록해 뉴욕 왕복 항공권 기준 100만 원대를 넘어섰고, 나프타 수급 차질로 한화토탈이 PX 공급에 불가항력을 선언하는 등 석유화학 업계 비상이 확산되고 있다. IEA는 호르무즈 위기가 지속될 경우 유럽의 항공유가 6주 내 고갈될 수 있다고 경고했으며, IMF는 이란 전쟁으로 인한 아시아 에너지 충격의 종료 시점이 불확실하다고 밝혔다. 종전 기대감에 코스피는 전쟁 발발 후 처음으로 6,200선을 회복했다.</w:t>
      </w:r>
    </w:p>
    <w:p/>
    <w:p>
      <w:pPr>
        <w:pStyle w:val="Heading2"/>
      </w:pPr>
      <w:r>
        <w:t>카테고리별 분석</w:t>
      </w:r>
    </w:p>
    <w:p>
      <w:pPr>
        <w:pStyle w:val="Heading3"/>
      </w:pPr>
      <w:r>
        <w:t>안보·군사  (HIGH 95 / MEDIUM 164)</w:t>
      </w:r>
    </w:p>
    <w:p>
      <w:r>
        <w:rPr>
          <w:b/>
        </w:rPr>
        <w:t>🌐 해외 상황</w:t>
      </w:r>
    </w:p>
    <w:p>
      <w:r>
        <w:t>미국은 이란 연계 선박에 대한 제재 범위를 호르무즈 해협 봉쇄 구역을 넘어 태평양을 포함한 전 세계로 확대했다. 미 국방부는 이란이 합의하지 않을 경우 전투작전을 재개하겠다고 경고하는 동시에 재무부의 '경제적 분노' 작전을 통한 최대 압박도 병행하고 있다. 이란은 미국의 해군 봉쇄에 대응해 걸프 무역 교란을 위협했으며, 미국은 호르무즈 해협에서의 고속정 대치 상황에 대비하고 있다. 트럼프 대통령은 이달 내 합의 가능성을 언급했고 이란도 호르무즈 개방안을 제시한 것으로 보이나, 독일은 해협 기뢰 제거·감시 임무 지원을 검토 중인 것으로 알려졌다. 인도 모디 총리와 프랑스 마크롱 대통령은 호르무즈 봉쇄 및 서아시아 항행 자유의 긴급성을 논의했다.</w:t>
      </w:r>
    </w:p>
    <w:p>
      <w:r>
        <w:rPr>
          <w:b/>
        </w:rPr>
        <w:t>🇰🇷 국내 영향</w:t>
      </w:r>
    </w:p>
    <w:p>
      <w:r>
        <w:t>한국 대통령은 4월 17일 호르무즈 관련 다자 화상 정상회의에 참석할 예정이며, 외교부 장관은 중동 위기 속 공급망 협력을 주제로 브라질·멕시코 외교장관과 협의했다. 한국은 공급망 다변화 외교를 적극 추진하고 있으며, 사우디아라비아로부터 원유·나프타의 한국 우선 공급 약속을 확보하고 얀부항을 호르무즈 대체 루트로 활용하는 방안이 논의되고 있는 것으로 보인다. 미국의 이란 연계 선박 제재 범위 확대는 한국 해운사의 중동 항로 운항에 추가적인 리스크 요인이 될 가능성이 있다.</w:t>
      </w:r>
    </w:p>
    <w:p>
      <w:pPr>
        <w:pStyle w:val="Heading3"/>
      </w:pPr>
      <w:r>
        <w:t>해양안전  (HIGH 0 / MEDIUM 2)</w:t>
      </w:r>
    </w:p>
    <w:p>
      <w:r>
        <w:rPr>
          <w:b/>
        </w:rPr>
        <w:t>🌐 해외 상황</w:t>
      </w:r>
    </w:p>
    <w:p>
      <w:r>
        <w:t>러시아의 공격으로 오데사 인근 해상에서 외국 국적 벌크선이 피격되었다.</w:t>
      </w:r>
    </w:p>
    <w:p>
      <w:r>
        <w:rPr>
          <w:b/>
        </w:rPr>
        <w:t>🇰🇷 국내 영향</w:t>
      </w:r>
    </w:p>
    <w:p>
      <w:r>
        <w:t>국내에서는 최근 4년간 화물선 불량 고박이 19건 적발되는 등 선박 안전 기준 준수 문제가 지속되고 있는 것으로 보인다.</w:t>
      </w:r>
    </w:p>
    <w:p>
      <w:pPr>
        <w:pStyle w:val="Heading3"/>
      </w:pPr>
      <w:r>
        <w:t>운임·물류비  (HIGH 13 / MEDIUM 21)</w:t>
      </w:r>
    </w:p>
    <w:p>
      <w:r>
        <w:rPr>
          <w:b/>
        </w:rPr>
        <w:t>🌐 해외 상황</w:t>
      </w:r>
    </w:p>
    <w:p>
      <w:r>
        <w:t>호르무즈 해협을 통한 상품 수출이 이란을 제외하고 사실상 붕괴 수준으로 감소했으며, 미국의 대이란 대항 봉쇄 이후 일시 회복되던 해협 통과 물동량이 다시 역전되었다. 인도의 LPG 수입량은 호르무즈 교란으로 2월 수준 대비 절반으로 감소했다. 골드만삭스는 호르무즈 봉쇄가 한 달 더 지속될 경우 브렌트유가 2026년 내내 100달러를 상회할 것으로 전망했으며, 유럽은 호르무즈 둔화로 스태그플레이션 우려가 제기되고 있다. 바레인에서는 해협 대체 항로 활용 가능성이 논의되고 있으며, 미국의 호르무즈 통행료 부과 제안에 대해 공화당 상원의원이 '무모한 발상'이라고 비판했다.</w:t>
      </w:r>
    </w:p>
    <w:p>
      <w:r>
        <w:rPr>
          <w:b/>
        </w:rPr>
        <w:t>🇰🇷 국내 영향</w:t>
      </w:r>
    </w:p>
    <w:p>
      <w:r>
        <w:t>5월 유류할증료가 역대 최고치를 기록해 뉴욕 왕복 항공권 기준 100만 원대를 넘어섰으며, HMM은 남중국 노선 유류할증료(ECC)를 5배 인상했고 다른 선사들도 3배 인상한 것으로 알려졌다. 3월 원유 수입은 중동 전쟁 여파로 전년 동기 대비 26.2% 감소했으며, 호르무즈 해협 물동량은 90% 급감한 상태로 유조선 9척만 통과한 것으로 보고되었다. 미국은 호르무즈 기뢰 제거에 착수했으나 항로 개설까지 수 주가 소요될 것으로 전망되며, 중동 원유 공급 차질로 미국산 원유 수출이 사상 최대를 기록하는 등 공급원 다변화가 진행 중이다.</w:t>
      </w:r>
    </w:p>
    <w:p>
      <w:pPr>
        <w:pStyle w:val="Heading3"/>
      </w:pPr>
      <w:r>
        <w:t>항만·화물  (HIGH 7 / MEDIUM 6)</w:t>
      </w:r>
    </w:p>
    <w:p>
      <w:r>
        <w:rPr>
          <w:b/>
        </w:rPr>
        <w:t>🌐 해외 상황</w:t>
      </w:r>
    </w:p>
    <w:p>
      <w:r>
        <w:t>미국 로스앤젤레스항(POLA)과 롱비치항(POLB)은 1분기를 견조하게 마감했으나 관세 및 글로벌 긴장이 향후 전망을 불투명하게 하고 있다. 스리랑카는 중동 분쟁 이후 처음으로 원유 탱커를 수령할 예정이다.</w:t>
      </w:r>
    </w:p>
    <w:p>
      <w:r>
        <w:rPr>
          <w:b/>
        </w:rPr>
        <w:t>🇰🇷 국내 영향</w:t>
      </w:r>
    </w:p>
    <w:p>
      <w:r>
        <w:t>한국 정부는 4개국 특사 파견 성과로 2억 7,300만 배럴의 원유와 최대 210만 톤의 나프타를 추가 확보했다고 밝혔다. 산업은행과 수출입은행은 석유공사의 원유 구매를 위해 총 30억 달러 금융지원을 확정했다. 정부는 5월까지 원유 수급에 문제가 없다고 밝혔으며, 석유 최고가격제 시행 이후 소비가 12.4% 감소한 것으로 나타났다. 사우디아라비아는 한국에 원유·나프타 우선 공급을 약속하고 얀부항을 호르무즈 대체 공급 루트로 활용하는 방안이 추진되고 있는 것으로 보인다.</w:t>
      </w:r>
    </w:p>
    <w:p>
      <w:pPr>
        <w:pStyle w:val="Heading3"/>
      </w:pPr>
      <w:r>
        <w:t>경제·금융  (HIGH 2 / MEDIUM 157)</w:t>
      </w:r>
    </w:p>
    <w:p>
      <w:r>
        <w:rPr>
          <w:b/>
        </w:rPr>
        <w:t>🌐 해외 상황</w:t>
      </w:r>
    </w:p>
    <w:p>
      <w:r>
        <w:t>미·이란 협상 기대감과 이스라엘·레바논 휴전 소식에 S&amp;P 500, 다우, 나스닥이 반등하고 글로벌 증시가 회복세를 보였다. 브렌트유는 호르무즈 공급 제약 지속으로 상승세를 이어갔으며, 골드만삭스는 봉쇄 지속 시 브렌트유가 2026년 내내 100달러를 상회할 것으로 전망했다. IEA는 유가 하락이 수요 파괴에 기인할 수 있다고 경고했으며, IMF는 이란 전쟁으로 인한 아시아 에너지 충격의 종료 시점이 불확실하다고 밝혔다. 루프탄자는 연료비 급등으로 자회사를 폐쇄하는 등 비용 절감을 가속화하고 있으며, 스피릿항공은 이란 분쟁으로 인한 연료비 상승으로 청산 위기에 처한 것으로 보도되었다.</w:t>
      </w:r>
    </w:p>
    <w:p>
      <w:r>
        <w:rPr>
          <w:b/>
        </w:rPr>
        <w:t>🇰🇷 국내 영향</w:t>
      </w:r>
    </w:p>
    <w:p>
      <w:r>
        <w:t>코스피는 미·이란 종전 기대감에 전쟁 발발 후 처음으로 6,200선을 회복했으며, 최고점 돌파까지 81포인트가 남은 상황이다. SK하이닉스는 신고가를 재차 경신했고 삼성전자도 최고가를 기록한 것으로 보인다. 구윤철 경제부총리는 전쟁 리스크 해소 시 환율 안정과 2% 성장 사수가 가능하다고 밝혔다. 원화도 중동 긴장 완화 기대감에 강세를 보였다.</w:t>
      </w:r>
    </w:p>
    <w:p>
      <w:pPr>
        <w:pStyle w:val="Heading3"/>
      </w:pPr>
      <w:r>
        <w:t>수산물  (HIGH 0 / MEDIUM 1)</w:t>
      </w:r>
    </w:p>
    <w:p>
      <w:r>
        <w:rPr>
          <w:b/>
        </w:rPr>
        <w:t>🇰🇷 국내 영향</w:t>
      </w:r>
    </w:p>
    <w:p>
      <w:r>
        <w:t>aT(한국농수산식품유통공사)는 중동 물류 대란 속 K-푸드 수출기업을 지원하기 위해 72억 원의 긴급 지원을 실시했다.</w:t>
      </w:r>
    </w:p>
    <w:p>
      <w:pPr>
        <w:pStyle w:val="Heading3"/>
      </w:pPr>
      <w:r>
        <w:t>해운  (HIGH 4 / MEDIUM 15)</w:t>
      </w:r>
    </w:p>
    <w:p>
      <w:r>
        <w:rPr>
          <w:b/>
        </w:rPr>
        <w:t>🌐 해외 상황</w:t>
      </w:r>
    </w:p>
    <w:p>
      <w:r>
        <w:t>미국의 봉쇄에도 불구하고 이란행 선박들이 호르무즈를 통과하고 있으며, 지난 24시간 동안 11척이 해협을 통과한 것으로 보고되었다. 미국의 제재를 받은 두 번째 초대형 유조선(VLCC)이 봉쇄에도 불구하고 걸프만에 진입했다. 중국 항공사들은 중동 혼란을 피해 항로를 우회하고 있으며, 양쯔강조선은 대형 유조선 8척을 발주하고 소형 선박 4척을 매각하는 거래를 체결했다.</w:t>
      </w:r>
    </w:p>
    <w:p>
      <w:r>
        <w:rPr>
          <w:b/>
        </w:rPr>
        <w:t>🇰🇷 국내 영향</w:t>
      </w:r>
    </w:p>
    <w:p>
      <w:r>
        <w:t>HMM은 7월부터 스페인~서아프리카를 연결하는 신규 컨테이너 서비스 'MA2'를 개설하며 허브앤스포크 전략을 가속화하고 있다. 대한조선은 아프리카 선사와 원유운반선 1척 건조 계약을 체결했다. 부산항만공사(BPA)는 북극항로 대비 항만 발전 전략 수립 용역에 착수했으며, 부산을 항만·공항·철도를 연계한 '북극의 환승역'으로 육성하는 방안이 논의되고 있다. 현대글로비스는 미국 동·서부 물류 거점을 확대해 비계열 물량 대응 기반을 구축하고 있다.</w:t>
      </w:r>
    </w:p>
    <w:p>
      <w:pPr>
        <w:pStyle w:val="Heading3"/>
      </w:pPr>
      <w:r>
        <w:t>물류  (HIGH 0 / MEDIUM 3)</w:t>
      </w:r>
    </w:p>
    <w:p>
      <w:r>
        <w:rPr>
          <w:b/>
        </w:rPr>
        <w:t>🇰🇷 국내 영향</w:t>
      </w:r>
    </w:p>
    <w:p>
      <w:r>
        <w:t>BPA(부산항만공사)는 네덜란드와 콜드체인 등 친환경 물류협력을 강화하며 유럽 물류 네트워크 확대를 추진하고 있다. 현대글로비스는 미국 동·서부 물류 거점을 확대해 비계열 물량 대응 기반을 구축하고 있다.</w:t>
      </w:r>
    </w:p>
    <w:p>
      <w:pPr>
        <w:pStyle w:val="Heading3"/>
      </w:pPr>
      <w:r>
        <w:t>기타 산업  (HIGH 14 / MEDIUM 57)</w:t>
      </w:r>
    </w:p>
    <w:p>
      <w:r>
        <w:rPr>
          <w:b/>
        </w:rPr>
        <w:t>🌐 해외 상황</w:t>
      </w:r>
    </w:p>
    <w:p>
      <w:r>
        <w:t>IEA 수장은 호르무즈 위기가 지속될 경우 유럽의 항공유가 6주 내 고갈될 수 있다고 경고했다. 서아시아 공급 충격으로 글로벌 열탄(thermal coal) 수요와 가격이 급등하고 있으며, 필리핀 네슬레는 연료 공급이 타이트해질 경우 기초 식품 위주로 생산을 전환할 수 있다고 밝혔다. 이란 전쟁으로 인한 미국 내 연료비 증가액이 200억 달러에 달한다는 분석도 제기되었다.</w:t>
      </w:r>
    </w:p>
    <w:p>
      <w:r>
        <w:rPr>
          <w:b/>
        </w:rPr>
        <w:t>🇰🇷 국내 영향</w:t>
      </w:r>
    </w:p>
    <w:p>
      <w:r>
        <w:t>나프타 수급 불안으로 한화토탈이 PX(파라자일렌) 공급에 불가항력을 선언했으며, 석유화학 업계 전반으로 불가항력 선언이 확산되고 있다. 나프타 차질은 중소 K-뷰티 브랜드에도 비상 상황을 초래하고 있다. 중동 에너지 인프라 피해액은 최대 86조 원으로 추산되며 전쟁 이전 수준 회복까지 2년이 소요될 것으로 전망된다. 중동전쟁 여파로 엔진오일 거래액이 전월 대비 175%, 요소수 거래액이 527% 급등한 것으로 나타났다.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2513</w:t>
            </w:r>
          </w:p>
        </w:tc>
        <w:tc>
          <w:tcPr>
            <w:tcW w:type="dxa" w:w="2946"/>
          </w:tcPr>
          <w:p>
            <w:r>
              <w:t>100.0%</w:t>
            </w:r>
          </w:p>
        </w:tc>
      </w:tr>
      <w:tr>
        <w:tc>
          <w:tcPr>
            <w:tcW w:type="dxa" w:w="2946"/>
          </w:tcPr>
          <w:p>
            <w:r>
              <w:t>HIGH</w:t>
            </w:r>
          </w:p>
        </w:tc>
        <w:tc>
          <w:tcPr>
            <w:tcW w:type="dxa" w:w="2946"/>
          </w:tcPr>
          <w:p>
            <w:r>
              <w:t>135</w:t>
            </w:r>
          </w:p>
        </w:tc>
        <w:tc>
          <w:tcPr>
            <w:tcW w:type="dxa" w:w="2946"/>
          </w:tcPr>
          <w:p>
            <w:r>
              <w:t>5.4%</w:t>
            </w:r>
          </w:p>
        </w:tc>
      </w:tr>
      <w:tr>
        <w:tc>
          <w:tcPr>
            <w:tcW w:type="dxa" w:w="2946"/>
          </w:tcPr>
          <w:p>
            <w:r>
              <w:t>MEDIUM</w:t>
            </w:r>
          </w:p>
        </w:tc>
        <w:tc>
          <w:tcPr>
            <w:tcW w:type="dxa" w:w="2946"/>
          </w:tcPr>
          <w:p>
            <w:r>
              <w:t>430</w:t>
            </w:r>
          </w:p>
        </w:tc>
        <w:tc>
          <w:tcPr>
            <w:tcW w:type="dxa" w:w="2946"/>
          </w:tcPr>
          <w:p>
            <w:r>
              <w:t>17.1%</w:t>
            </w:r>
          </w:p>
        </w:tc>
      </w:tr>
      <w:tr>
        <w:tc>
          <w:tcPr>
            <w:tcW w:type="dxa" w:w="2946"/>
          </w:tcPr>
          <w:p>
            <w:r>
              <w:t>LOW</w:t>
            </w:r>
          </w:p>
        </w:tc>
        <w:tc>
          <w:tcPr>
            <w:tcW w:type="dxa" w:w="2946"/>
          </w:tcPr>
          <w:p>
            <w:r>
              <w:t>413</w:t>
            </w:r>
          </w:p>
        </w:tc>
        <w:tc>
          <w:tcPr>
            <w:tcW w:type="dxa" w:w="2946"/>
          </w:tcPr>
          <w:p>
            <w:r>
              <w:t>16.4%</w:t>
            </w:r>
          </w:p>
        </w:tc>
      </w:tr>
      <w:tr>
        <w:tc>
          <w:tcPr>
            <w:tcW w:type="dxa" w:w="2946"/>
          </w:tcPr>
          <w:p>
            <w:r>
              <w:t>NONE</w:t>
            </w:r>
          </w:p>
        </w:tc>
        <w:tc>
          <w:tcPr>
            <w:tcW w:type="dxa" w:w="2946"/>
          </w:tcPr>
          <w:p>
            <w:r>
              <w:t>1535</w:t>
            </w:r>
          </w:p>
        </w:tc>
        <w:tc>
          <w:tcPr>
            <w:tcW w:type="dxa" w:w="2946"/>
          </w:tcPr>
          <w:p>
            <w:r>
              <w:t>61.1%</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