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2026-10-08</w:t>
      </w:r>
    </w:p>
    <w:p>
      <w:pPr>
        <w:jc w:val="center"/>
      </w:pPr>
      <w:r>
        <w:rPr>
          <w:color w:val="808080"/>
          <w:sz w:val="18"/>
        </w:rPr>
        <w:t>생성 모델: claude-sonnet-4-6  |  HIGH+MEDIUM 324건 (해외 202건 / 국내 122건)</w:t>
      </w:r>
    </w:p>
    <w:p/>
    <w:p>
      <w:pPr>
        <w:pStyle w:val="Heading2"/>
      </w:pPr>
      <w:r>
        <w:t>오늘의 핵심</w:t>
      </w:r>
    </w:p>
    <w:p>
      <w:r>
        <w:t>호르무즈 해협 봉쇄 위기가 지속되는 가운데 이란이 추가 항로 차단을 경고하고[3], 미국은 이란에 대한 대규모 군사작전 재개를 검토 중이라는 보도가 나왔다[19][20]. 호르무즈 해협 통과 선박 수는 2개월 이상 최저 수준으로 떨어졌으며[38], 유조선 공격은 전쟁 발발 이후 주간 기준 최고치를 기록했다[5]. 수퍼탱커 운임은 8배 이상 급등했고[41], 선장들에게는 월 10만 달러에 추가 항차당 5만 달러의 위험 수당이 제시되고 있다[43]. 브렌트유는 트럼프 대통령의 대규모 전투 재개 검토 소식에 배럴당 105달러를 돌파했으며[65], WTI도 3%대 급등했다[73][74]. 미국은 이란 '그림자 선단' 소속 유조선 17척에 추가 제재를 부과했다[1][2]. IEA는 디젤 부족에 대응해 전략비축유 1억 배럴 방출을 앞당기기로 했다[54][55]. 국내에서는 코스피가 유가 급등과 인플레이션 우려로 2%대 급락해 6,600선 아래로 후퇴했고[70], 달러-원 환율은 1,340원 초반대에서 거래됐다[76]. 한편 한국은 북한군 포로 이송 문제로 우크라이나 주재 대사를 소환했으며[6][8][9], 이집트와는 전략적 동반자 관계로 격상하고 CEPA 협상을 개시했다[22][23][24]. 북극항로 시범운항이 성공적으로 완료됐고 HMM의 부산 시대가 개막했다[88].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57건</w:t>
            </w:r>
          </w:p>
        </w:tc>
        <w:tc>
          <w:tcPr>
            <w:tcW w:type="dxa" w:w="2209"/>
          </w:tcPr>
          <w:p>
            <w:r>
              <w:t>▼45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47건</w:t>
            </w:r>
          </w:p>
        </w:tc>
        <w:tc>
          <w:tcPr>
            <w:tcW w:type="dxa" w:w="2209"/>
          </w:tcPr>
          <w:p>
            <w:r>
              <w:t>▼10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34건</w:t>
            </w:r>
          </w:p>
        </w:tc>
        <w:tc>
          <w:tcPr>
            <w:tcW w:type="dxa" w:w="2209"/>
          </w:tcPr>
          <w:p>
            <w:r>
              <w:t>▲21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15건</w:t>
            </w:r>
          </w:p>
        </w:tc>
        <w:tc>
          <w:tcPr>
            <w:tcW w:type="dxa" w:w="2209"/>
          </w:tcPr>
          <w:p>
            <w:r>
              <w:t>▼8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15건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▼84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▼23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흑해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▼20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오만 원유 공급원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▼2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61 / MEDIUM 83)</w:t>
      </w:r>
    </w:p>
    <w:p>
      <w:r>
        <w:rPr>
          <w:b/>
        </w:rPr>
        <w:t>🌐 해외 상황</w:t>
      </w:r>
    </w:p>
    <w:p>
      <w:r>
        <w:t>이란은 호르무즈 해협에 대한 '완전한 통제권'을 주장하며 추가 항로 차단을 경고했고[3], 미국 CENTCOM은 이를 부인하며 해협이 여전히 개방 상태라고 밝혔다[7][13]. 호르무즈 해협 유조선 공격은 전쟁 발발 이후 주간 기준 최고치를 기록했으며[5], 이란이 통행료를 부과하고 있다는 논란도 제기됐다[11]. 미국은 이란 그림자 선단 소속 유조선 17척에 제재를 부과했다[1][2]. 미국이 호르무즈 재개방에 일부 진전을 이뤘다는 보도도 있으나 전쟁은 아직 끝나지 않은 것으로 평가된다[17]. 캠프 펜들턴 해병대의 훈련 파견이 호르무즈 해협 실제 안보 임무로 전환됐다[4]. 후티 반군은 사우디아라비아 공항을 공격해 3명이 사망했으며[12], 요르단이 이를 규탄했다. 러시아의 흑해 민간 선박 위협에 대해 영국이 OSCE에서 문제를 제기했고[15], 인도와 라이베리아는 걸프·흑해 선박 및 선원 공격을 규탄했다[14]. 중동 전쟁으로 인한 해상 운송 차질이 아칸소 농가에 약 3억 4,300만 달러의 추가 비용을 발생시킨 것으로 추산됐다[18].</w:t>
      </w:r>
    </w:p>
    <w:p>
      <w:r>
        <w:rPr>
          <w:b/>
        </w:rPr>
        <w:t>🇰🇷 국내 영향</w:t>
      </w:r>
    </w:p>
    <w:p>
      <w:r>
        <w:t>미국 국방부가 중부사령부에 이란 대규모 작전 준비를 지시했다는 보도가 나왔으며[19], 트럼프 대통령은 이란과의 합의를 더 이상 원하지 않는다고 밝히며 대규모 폭격 검토 가능성이 제기됐다[20]. 이란이 호르무즈 해협 재개방 방안에 대해 며칠 내 답변을 예고했다[26]. 한국은 북한군 포로 이송 문제를 둘러싼 외교 갈등으로 우크라이나 주재 대사를 소환했다[6][8][9]. 한국 정부는 러시아에 대한 연료 선적이 금지 대상이 아니라는 입장을 밝혔다[10]. 이재명 대통령은 이집트 대통령과 정상회담을 갖고 양국 관계를 전략적 동반자 관계로 격상하고 CEPA 협상을 개시했으며 국방·방산 협력 확대에도 합의했다[22][23][24]. 후티 반군의 사우디 공항 공격으로 중동 전쟁이 홍해 길목까지 확산되는 양상이 보도됐다[28].</w:t>
      </w:r>
    </w:p>
    <w:p>
      <w:pPr>
        <w:pStyle w:val="Heading3"/>
      </w:pPr>
      <w:r>
        <w:t>해양안전  (HIGH 0 / MEDIUM 10)</w:t>
      </w:r>
    </w:p>
    <w:p>
      <w:r>
        <w:rPr>
          <w:b/>
        </w:rPr>
        <w:t>🌐 해외 상황</w:t>
      </w:r>
    </w:p>
    <w:p>
      <w:r>
        <w:t>서아시아 분쟁으로 인도인 선원 11명이 사망한 것으로 인도 해운부 장관이 밝혔다[29]. 오만 인근 해상에서 그림자 선단 소속 유조선 침몰 사고 관련 구조 작업이 해상 기상 호전으로 진행 중이다[30]. 윈드워드 보고서에 따르면 2026년 3분기는 글로벌 해상 운송 안전 측면에서 가장 위험한 분기로 기록됐다[31].</w:t>
      </w:r>
    </w:p>
    <w:p>
      <w:r>
        <w:rPr>
          <w:b/>
        </w:rPr>
        <w:t>🇰🇷 국내 영향</w:t>
      </w:r>
    </w:p>
    <w:p>
      <w:r>
        <w:t>가을·겨울철 기상 악화로 선박 사고 주의가 요구되고 있으며[32], 탑승자 없이 표류하는 선박이 발견돼 실종자 수색이 진행 중이다[33]. 울산해경은 방어진항 해상에서 60대 선원을 구조했다[34]. 선박 사고가 잇따르면서 초기 대응의 중요성이 강조되고 있고[35], 어선 화재 사고도 발생해 해상 안전 비상이 걸렸다[36]. 최근 5년간 국내 해상에서 675명이 사망·실종된 것으로 집계됐다[37].</w:t>
      </w:r>
    </w:p>
    <w:p>
      <w:pPr>
        <w:pStyle w:val="Heading3"/>
      </w:pPr>
      <w:r>
        <w:t>운임·물류비  (HIGH 12 / MEDIUM 9)</w:t>
      </w:r>
    </w:p>
    <w:p>
      <w:r>
        <w:rPr>
          <w:b/>
        </w:rPr>
        <w:t>🌐 해외 상황</w:t>
      </w:r>
    </w:p>
    <w:p>
      <w:r>
        <w:t>호르무즈 해협 통과 선박 수가 2개월 이상 최저 수준으로 감소했으며[38], 수퍼탱커 운임은 8배 이상 급등했다[41]. 선장들에게는 월 10만 달러에 항차당 5만 달러의 위험 수당이 제시되고 있다[43]. 머스크는 중동 분쟁을 이유로 긴급 연료 할증료를 인상했다[39]. 드류리의 홍해 우회 추적 지수는 연간 기준 기하급수적 증가를 기록했다[42]. 호르무즈 위기로 인한 운임 급등이 정점을 지났을 가능성도 제기됐다[45]. 발틱 건화물 운임지수(BDI)는 6주 최저치로 하락했으며[40], 파나마 운하 제한 조치로 남미 우회 항로 이용이 급증했다[44]. 제네타 주간 업데이트에 따르면 유럽 발주 시즌에 운임 하락이 호재로 작용하고 있으며 태평양 노선도 소폭 하락세다[46]. 열 수요 약화로 글로벌 석탄 물동량이 감소했다[47].</w:t>
      </w:r>
    </w:p>
    <w:p>
      <w:pPr>
        <w:pStyle w:val="Heading3"/>
      </w:pPr>
      <w:r>
        <w:t>항만·화물  (HIGH 1 / MEDIUM 11)</w:t>
      </w:r>
    </w:p>
    <w:p>
      <w:r>
        <w:rPr>
          <w:b/>
        </w:rPr>
        <w:t>🌐 해외 상황</w:t>
      </w:r>
    </w:p>
    <w:p>
      <w:r>
        <w:t>후자이라 석유제품 재고가 3주 최저치로 하락했으며[50], 원유 재고도 급감해 강한 수요를 시사한다[51]. 카타르는 글로벌 LNG 해상 운송 용량의 2%에 해당하는 탱커 선단을 집결시켰다[52]. 연료 터미널 인근 쓰레기 매립지가 대형 사고를 유발할 수 있다는 UNOC 경고가 나왔다[49]. 캐나다 메트로 밴쿠버에 75만 평방피트 규모의 대형 식품 유통 터미널 건설이 제안됐다[53].</w:t>
      </w:r>
    </w:p>
    <w:p>
      <w:r>
        <w:rPr>
          <w:b/>
        </w:rPr>
        <w:t>🇰🇷 국내 영향</w:t>
      </w:r>
    </w:p>
    <w:p>
      <w:r>
        <w:t>IEA는 디젤 부족에 긴급 대응하기 위해 전략비축유 1억 배럴 방출 일정을 앞당기기로 했다[54][55]. 인도향 러시아 원유 선적량이 하루 31만 배럴로 2022년 3월 이후 최저치를 기록했다[57]. 4개 항만공사 노조는 정부의 통합 추진에 반발하며 효과 검증이 먼저라는 입장을 밝혔다[56]. 해양수산부가 동원터미널 사태 해결을 위해 직접 나서기로 했다[58].</w:t>
      </w:r>
    </w:p>
    <w:p>
      <w:pPr>
        <w:pStyle w:val="Heading3"/>
      </w:pPr>
      <w:r>
        <w:t>경제·금융  (HIGH 14 / MEDIUM 66)</w:t>
      </w:r>
    </w:p>
    <w:p>
      <w:r>
        <w:rPr>
          <w:b/>
        </w:rPr>
        <w:t>🌐 해외 상황</w:t>
      </w:r>
    </w:p>
    <w:p>
      <w:r>
        <w:t>브렌트유는 트럼프 대통령의 이란 대규모 전투 재개 검토 소식에 배럴당 105달러를 돌파했으며[65], 호르무즈 해협 공격으로 배럴당 102달러를 넘어 2% 급등하기도 했다[68]. WTI도 중동 긴장 고조와 멕시코만 허리케인 우려가 겹치며 급등했다[66][67]. 미국 천연가스 가격은 저장량 증가로 안정세를 유지했다[63]. 해협 통행 개선에도 불구하고 가스 가격이 여전히 높은 이유에 대한 분석이 제기됐다[61]. WTO는 AI 붐이 중동 교란을 상쇄하면서 상품 무역 전망을 상향 조정했다[64]. 이라크는 이란 전쟁으로 인한 석유 해상 운송 차질로 자국 통화를 평가절하했다[98].</w:t>
      </w:r>
    </w:p>
    <w:p>
      <w:r>
        <w:rPr>
          <w:b/>
        </w:rPr>
        <w:t>🇰🇷 국내 영향</w:t>
      </w:r>
    </w:p>
    <w:p>
      <w:r>
        <w:t>코스피는 삼성전자의 역대 최대 실적에도 불구하고 유가 급등과 인플레이션 우려로 2%대 급락해 6,600선 아래로 후퇴했으며[70], 3거래일 연속 하락세를 이어갔다[72]. 뉴욕 증시도 유가 상승 영향으로 하락 출발했다[69]. 미국 국채금리는 24년 만에 최고치를 기록했으며 월가에서는 연말 4.75% 대 5% 이상을 놓고 전망이 엇갈리고 있다[78]. 달러-원 환율은 뉴욕 시장에서 1,340원 초반대에서 거래됐다[76]. 뉴욕 반도체주는 유가 105달러 돌파와 미국 국채금리 급등 영향으로 약세를 보였다[71][77].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🌐 해외 상황</w:t>
      </w:r>
    </w:p>
    <w:p>
      <w:r>
        <w:t>중국의 지속적인 수요 증가가 냉수성 새우 수급 균형을 왜곡하며 기록적인 가격 상승을 이끌고 있다[79].</w:t>
      </w:r>
    </w:p>
    <w:p>
      <w:pPr>
        <w:pStyle w:val="Heading3"/>
      </w:pPr>
      <w:r>
        <w:t>해운  (HIGH 0 / MEDIUM 13)</w:t>
      </w:r>
    </w:p>
    <w:p>
      <w:r>
        <w:rPr>
          <w:b/>
        </w:rPr>
        <w:t>🌐 해외 상황</w:t>
      </w:r>
    </w:p>
    <w:p>
      <w:r>
        <w:t>WinGD가 TMS 카디프 가스의 LNG 운반선 신조 3척에 대한 글로벌 서비스 계약을 수주했으며[80], 바르질라도 TMS와 5년간 LNG 운반선 지원 계약을 체결했다[83]. CMA CGM은 메탄올 추진 컨테이너선을 추가로 발주해 친환경 선대를 확장했다[81]. 중국-유럽 화물 철도 물동량은 10년간 10.8배 급증했다[82]. 칭다오항은 글로벌 해운 서비스를 지속 확장하고 있으며[84][85], 카라치-유럽 직항 해운 서비스가 복원됐다[86].</w:t>
      </w:r>
    </w:p>
    <w:p>
      <w:r>
        <w:rPr>
          <w:b/>
        </w:rPr>
        <w:t>🇰🇷 국내 영향</w:t>
      </w:r>
    </w:p>
    <w:p>
      <w:r>
        <w:t>HMM이 레바논에 6년째 인도주의 지원 물자를 해상으로 운송하고 있다[87]. 북극항로 시범운항이 성공적으로 완료됐으며 HMM의 부산 시대가 개막해 13일 연쇄 축하 행사가 예정됐다[88]. 북극항로가 열릴 경우 한국 물류·산업 구조 변화에 대한 논의가 이어지고 있으며 특별법 보완과 국가 전략 수립이 과제로 제시됐다[91]. 부산이 북극항로의 시작점으로 주목받고 있다[89]. 한-이집트 정상회담에서 친환경 선박 인프라 구축 협력에 합의했다[90]. 현대글로비스는 중국 자동차 수출이 68% 급증하는 상황에서 자동차 운반선(PCTC) 선대 확장으로 대응하고 있다[92].</w:t>
      </w:r>
    </w:p>
    <w:p>
      <w:pPr>
        <w:pStyle w:val="Heading3"/>
      </w:pPr>
      <w:r>
        <w:t>기타 산업  (HIGH 1 / MEDIUM 42)</w:t>
      </w:r>
    </w:p>
    <w:p>
      <w:r>
        <w:rPr>
          <w:b/>
        </w:rPr>
        <w:t>🌐 해외 상황</w:t>
      </w:r>
    </w:p>
    <w:p>
      <w:r>
        <w:t>아프리카는 어족 자원 감소와 식량 안보 위협에 대응해 양식업으로 전환하는 추세다[99]. 펀자브 지역에서 밀 가격 급등으로 밀가루 가격이 상승했으며[101], 필리핀의 쌀 수입 전망은 엘니뇨와 비료 비용 상승으로 불투명하다[102].</w:t>
      </w:r>
    </w:p>
    <w:p>
      <w:r>
        <w:rPr>
          <w:b/>
        </w:rPr>
        <w:t>🇰🇷 국내 영향</w:t>
      </w:r>
    </w:p>
    <w:p>
      <w:r>
        <w:t>한국가스기술공사가 세네갈 LNG 시운전 사업을 수주했다[103]. 남부발전은 내년까지 직도입 LNG 발전소를 3곳으로 확대할 계획이다[105]. 가스기술공사는 글로벌 부유식 LNG 저장설비 시장 공략에 나섰으며[106], 한국가스공사는 에너지 플랫폼 기업으로의 전환을 가속화하고 있다[108]. 밴스 미국 부통령은 한국 현 정부 또는 차기 정부와 알래스카 LNG 사업을 완수하겠다고 밝혔다[109]. 롯데정밀화학은 국내 최초로 발전용 그린암모니아 1,500톤을 공급하고 공급망 플랫폼을 확장하고 있다[110][111][112]. SK에너지는 44조 원 규모 담합 사건과 관련해 사과하고 가격 체계 개편을 약속했다[104].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2273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89</w:t>
            </w:r>
          </w:p>
        </w:tc>
        <w:tc>
          <w:tcPr>
            <w:tcW w:type="dxa" w:w="2946"/>
          </w:tcPr>
          <w:p>
            <w:r>
              <w:t>3.9%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235</w:t>
            </w:r>
          </w:p>
        </w:tc>
        <w:tc>
          <w:tcPr>
            <w:tcW w:type="dxa" w:w="2946"/>
          </w:tcPr>
          <w:p>
            <w:r>
              <w:t>10.3%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441</w:t>
            </w:r>
          </w:p>
        </w:tc>
        <w:tc>
          <w:tcPr>
            <w:tcW w:type="dxa" w:w="2946"/>
          </w:tcPr>
          <w:p>
            <w:r>
              <w:t>19.4%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1508</w:t>
            </w:r>
          </w:p>
        </w:tc>
        <w:tc>
          <w:tcPr>
            <w:tcW w:type="dxa" w:w="2946"/>
          </w:tcPr>
          <w:p>
            <w:r>
              <w:t>66.3%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