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2026-09-03</w:t>
      </w:r>
    </w:p>
    <w:p>
      <w:pPr>
        <w:jc w:val="center"/>
      </w:pPr>
      <w:r>
        <w:rPr>
          <w:color w:val="808080"/>
          <w:sz w:val="18"/>
        </w:rPr>
        <w:t>생성 모델: claude-sonnet-4-6  |  HIGH+MEDIUM 338건 (해외 201건 / 국내 137건)</w:t>
      </w:r>
    </w:p>
    <w:p/>
    <w:p>
      <w:pPr>
        <w:pStyle w:val="Heading2"/>
      </w:pPr>
      <w:r>
        <w:t>오늘의 핵심</w:t>
      </w:r>
    </w:p>
    <w:p>
      <w:r>
        <w:t>미국의 이란 호르무즈 역량 타격으로 이란이 쿠웨이트에 미사일·드론 공격을 감행하고[4][14] 사우디 유조선 SIDR을 공격하는 등[6][7] 분쟁이 역내 전방위로 확산되고 있다. 브렌트유는 97달러를 돌파했으며[63] 해상 운임 관련 해운주는 10년 만에 최고치를 기록했다[28][26]. 미군은 민간 선박 40척·원유 1,800만 배럴의 호르무즈 통과를 호위했으나[73][78] 일본 유조선 업체는 혼란이 내년까지 이어질 수 있다고 경고했다[1]. 한국 정부는 호르무즈 파병을 검토 중이나 청와대는 '결정된 바 없다'고 선을 그었으며[11][15][16] 울산항은 두 달 연속 원유 500만 톤대 공급을 유지하면서 공급망 선방을 이어가고 있다[43]. 원·달러 환율은 반도체 수출 달러 매도세 등으로 14개월 만에 1,350원대 최저치로 하락했다[66][68][69].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34 / MEDIUM 123)</w:t>
      </w:r>
    </w:p>
    <w:p>
      <w:r>
        <w:rPr>
          <w:b/>
        </w:rPr>
        <w:t>🌐 해외 상황</w:t>
      </w:r>
    </w:p>
    <w:p>
      <w:r>
        <w:t>미국의 이란 호르무즈 역량 타격으로 ISW는 이란의 해협 통제 능력이 저하됐다고 평가했다[3]. 이란은 쿠웨이트에 미사일·드론 공격을 감행했으며[4] 사우디 유조선 SIDR을 호르무즈 해협에서 공격해 GCC 사무총장과 사우디아라비아가 강력 규탄했다[6][7]. 필리핀 해외근로자부(DMW)는 호르무즈 해협 공격으로 필리핀 선원 2명이 사망했다고 밝혔다[5]. 이란은 트럼프에게 '호르무즈에서 분노에 빠져 익사할 것'이라고 위협했으며[8] IMF는 호르무즈 봉쇄로 개발도상국의 부채 압박이 심화되고 있다고 경고했다[10]. 트럼프는 시리아를 호르무즈 대체 석유 수송로로 지지하는 방안을 검토 중인 것으로 보도됐다[9]. 흑해 봉쇄도 식량 위기와 이주 물결에 대한 우려를 키우고 있다[2].</w:t>
      </w:r>
    </w:p>
    <w:p>
      <w:r>
        <w:rPr>
          <w:b/>
        </w:rPr>
        <w:t>🇰🇷 국내 영향</w:t>
      </w:r>
    </w:p>
    <w:p>
      <w:r>
        <w:t>한국 정부는 호르무즈에 파병하는 방향으로 가닥을 잡고 국회에 파병동의안 제출을 준비 중이라고 보도됐으나[11][12] 청와대는 '결정된 바 없다'며 복수의 공식 입장을 통해 선을 그었다[15][16][18][19][20]. 정부는 파병 검토 사실은 인정하면서 국군 파견 시 국회 동의가 필요하다고 밝혔다[17]. 이란의 미군 공격 소식에 코스피가 한때 하락 전환했으나 6,500선에서 마감했다[13].</w:t>
      </w:r>
    </w:p>
    <w:p>
      <w:pPr>
        <w:pStyle w:val="Heading3"/>
      </w:pPr>
      <w:r>
        <w:t>해양안전  (HIGH 0 / MEDIUM 5)</w:t>
      </w:r>
    </w:p>
    <w:p>
      <w:r>
        <w:rPr>
          <w:b/>
        </w:rPr>
        <w:t>🇰🇷 국내 영향</w:t>
      </w:r>
    </w:p>
    <w:p>
      <w:r>
        <w:t>부산 앞바다에서 예인선이 전복·침몰하는 사고가 발생해 실종 선원 수색이 야간에도 선박 14척·항공기 3대를 투입해 계속됐다[22][23][25]. 완전 침몰까지 1시간 40분이 소요됐으며 뒤집힌 선내 진입이 어려웠던 것으로 전해졌다[21]. 예인선은 사고 시 인명피해가 큰 선종으로, 지난해 160척 사고가 발생해 5년 중 최대치를 기록한 것으로 나타났다[24].</w:t>
      </w:r>
    </w:p>
    <w:p>
      <w:pPr>
        <w:pStyle w:val="Heading3"/>
      </w:pPr>
      <w:r>
        <w:t>운임·물류비  (HIGH 5 / MEDIUM 5)</w:t>
      </w:r>
    </w:p>
    <w:p>
      <w:r>
        <w:rPr>
          <w:b/>
        </w:rPr>
        <w:t>🌐 해외 상황</w:t>
      </w:r>
    </w:p>
    <w:p>
      <w:r>
        <w:t>호르무즈 혼란이 지속되면서 해운주가 10년 만에 최고치를 기록했다[28][26]. 호르무즈를 통한 걸프 해상 교통량은 10일 평균치를 하회하는 것으로 데이터가 확인됐으며[29][30] 미국-이란 전쟁 6개월간 호르무즈 통항량이 심각하게 위축됐다[27]. 발틱건화물운임지수(BDI)는 157포인트 상승한 3,488을 기록했다[31]. 엘니뇨가 화물 네트워크에 심각한 영향을 미치고 있다는 보도도 나왔으며[32] 파나마 운하 관련 제한 조치도 언급됐다[33].</w:t>
      </w:r>
    </w:p>
    <w:p>
      <w:r>
        <w:rPr>
          <w:b/>
        </w:rPr>
        <w:t>🇰🇷 국내 영향</w:t>
      </w:r>
    </w:p>
    <w:p>
      <w:r>
        <w:t>올해 건화물선 운임이 크게 올라 대형선 운임이 64% 상승하며 강세를 견인하고 있으며 중소형선은 상승폭이 상대적으로 제한적인 것으로 나타났다[34][35].</w:t>
      </w:r>
    </w:p>
    <w:p>
      <w:pPr>
        <w:pStyle w:val="Heading3"/>
      </w:pPr>
      <w:r>
        <w:t>항만·화물  (HIGH 4 / MEDIUM 26)</w:t>
      </w:r>
    </w:p>
    <w:p>
      <w:r>
        <w:rPr>
          <w:b/>
        </w:rPr>
        <w:t>🌐 해외 상황</w:t>
      </w:r>
    </w:p>
    <w:p>
      <w:r>
        <w:t>이라크는 8월 호르무즈를 통한 원유 수출을 70% 급증시켜 아시아 정유사들에 호재가 됐다[36][41]. 호르무즈를 통해 예상보다 많은 원유가 흐르고 있다는 분석도 제기됐다[38]. 말레이시아는 2분기 천연가스 생산량이 19.1% 증가했다[37]. 두바이 최대 항만인 제벨알리는 호르무즈 봉쇄로 교역이 막히면서 붕괴 위험에 노출됐다는 분석이 나왔다[40].</w:t>
      </w:r>
    </w:p>
    <w:p>
      <w:r>
        <w:rPr>
          <w:b/>
        </w:rPr>
        <w:t>🇰🇷 국내 영향</w:t>
      </w:r>
    </w:p>
    <w:p>
      <w:r>
        <w:t>울산항은 두 달 연속 원유 500만 톤대 공급을 유지하며 공급망 선방을 이어가고 있다[43]. 8월 울산 반입 원유 중 중동산 비중이 확대됐으며 이는 우회로 통제 이전 물량으로 파악됐다[44]. 정부는 원유 도입선 다변화를 통한 탈중동을 본격화하고 있다[45]. 정부는 4대 항만공사(부산·인천·울산·여수광양) 통합 방안을 전격 발표했으며[46][51] 노조는 노정 협의 중 기습 발표라고 반발했고[47] 인천 지역 정치·항만·노동계는 경쟁력 약화를 이유로 반대 입장을 표명했다[49].</w:t>
      </w:r>
    </w:p>
    <w:p>
      <w:pPr>
        <w:pStyle w:val="Heading3"/>
      </w:pPr>
      <w:r>
        <w:t>경제·금융  (HIGH 7 / MEDIUM 77)</w:t>
      </w:r>
    </w:p>
    <w:p>
      <w:r>
        <w:rPr>
          <w:b/>
        </w:rPr>
        <w:t>🌐 해외 상황</w:t>
      </w:r>
    </w:p>
    <w:p>
      <w:r>
        <w:t>이란의 미군 공격 소식과 중동 긴장 재고조로 국제유가가 6주 만에 최고치를 기록했으며[60] 브렌트유는 95달러를 넘어 거래됐다[55]. 미국 걸프 연안 디젤 가격은 글로벌 공급 교란으로 사상 최고치를 기록했다[57]. 이란은 미국 제재로 원유 교역이 25~35% 감소하고 연료 부족이 심화되는 등 경제적 타격을 인정했다[54]. 우크라이나 공격이 글로벌 에너지 충격을 부추기고 있다는 미국 재무장관의 발언도 나왔다[56]. 다우·S&amp;P500·나스닥 선물은 중동 긴장 속에 혼조세를 보였다[59].</w:t>
      </w:r>
    </w:p>
    <w:p>
      <w:r>
        <w:rPr>
          <w:b/>
        </w:rPr>
        <w:t>🇰🇷 국내 영향</w:t>
      </w:r>
    </w:p>
    <w:p>
      <w:r>
        <w:t>국제유가 상승에도 불구하고 서울 증시는 유가 안정 기대감에 상승 마감했으며[62] 코스피는 6,500선에서 턱걸이했다[71]. 원·달러 환율은 수출업체 달러 매도세와 엔화 강세 등으로 14개월 만에 1,350원대 최저치로 하락했으며[66][68][70] 반도체 수출 달러 유입이 원화 강세를 이끈 것으로 분석됐다[69]. 달러 헤지 비용은 10년 만에 최저 수준으로 떨어져 기관들이 대규모 환손실에 직면할 가능성이 제기됐다[67]. 브렌트유는 이란 공격 지속으로 97달러를 돌파했다[63].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이탈리아에서 폐기 처분되던 꽃게를 수출해 300억 원의 수익을 올리는 성과를 거뒀다는 사례가 보도됐다[72].</w:t>
      </w:r>
    </w:p>
    <w:p>
      <w:pPr>
        <w:pStyle w:val="Heading3"/>
      </w:pPr>
      <w:r>
        <w:t>해운  (HIGH 2 / MEDIUM 12)</w:t>
      </w:r>
    </w:p>
    <w:p>
      <w:r>
        <w:rPr>
          <w:b/>
        </w:rPr>
        <w:t>🌐 해외 상황</w:t>
      </w:r>
    </w:p>
    <w:p>
      <w:r>
        <w:t>미군은 민간 선박 40척·원유 1,800만 배럴의 호르무즈 해협 통과를 호위했다[73]. 젤렌스키 우크라이나 대통령은 자이샨카르 인도 외무장관과 만나 상선 위협 문제를 논의했다[74]. 러시아는 9월 브라질 가솔린 수입에서 다시 1위를 차지했다[76].</w:t>
      </w:r>
    </w:p>
    <w:p>
      <w:r>
        <w:rPr>
          <w:b/>
        </w:rPr>
        <w:t>🇰🇷 국내 영향</w:t>
      </w:r>
    </w:p>
    <w:p>
      <w:r>
        <w:t>한화오션은 대만 양밍해운으로부터 LNG 컨테이너선 6척을 약 1조 5,527억 원에 수주했으며[82][83][85] 첫 수주 선사로부터 1년 만에 대규모 후속 물량을 확보했다[84]. SK오션플랜트는 4,100억 원에 디오션컨소시엄에 인수됐다[79]. 삼성중공업은 서울대와 미래선박기술 글로벌협력 연구센터를 설립했다[80]. 팬스타 아크로호는 최대 난코스로 꼽히는 축치해를 통과해 동시베리아해에 진입했다[86].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두바이 최대 항만인 제벨알리가 호르무즈 봉쇄로 교역이 막히면서 붕괴 위험에 노출됐다는 분석이 제기됐다[87].</w:t>
      </w:r>
    </w:p>
    <w:p>
      <w:pPr>
        <w:pStyle w:val="Heading3"/>
      </w:pPr>
      <w:r>
        <w:t>기타 산업  (HIGH 1 / MEDIUM 35)</w:t>
      </w:r>
    </w:p>
    <w:p>
      <w:r>
        <w:rPr>
          <w:b/>
        </w:rPr>
        <w:t>🌐 해외 상황</w:t>
      </w:r>
    </w:p>
    <w:p>
      <w:r>
        <w:t>글로벌 디젤 부족 속에 미국의 정제 능력 확충 여지가 제한적이라는 분석가들의 평가가 나왔다[97]. 원유 수입국들이 기존 공급 루트 붕괴에 적응하는 새로운 현실을 학습하고 있다는 분석도 제기됐다[88]. 엔이(Eni)는 베네수엘라 후닌-5 초대형 유전의 운영권을 확보하는 전략적 계약을 체결했다[91].</w:t>
      </w:r>
    </w:p>
    <w:p>
      <w:r>
        <w:rPr>
          <w:b/>
        </w:rPr>
        <w:t>🇰🇷 국내 영향</w:t>
      </w:r>
    </w:p>
    <w:p>
      <w:r>
        <w:t>정부는 발전 5사·항만 4사 통합, 한국석유공사와 한국가스공사 합병, LH 분리 등을 포함한 대규모 행정·공공기관 통폐합 방안을 발표했다[98][99][106][107]. 트럼프 대통령은 한국과 일본의 알래스카 LNG 참여를 재차 언급했으며[100][103][104][105] 포스코의 강관재 공급 기대감도 거론됐다[105]. 국내에서는 BioLNG 도입 가능성을 검토하는 움직임이 나타났다[102].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54</w:t>
            </w:r>
          </w:p>
        </w:tc>
        <w:tc>
          <w:tcPr>
            <w:tcW w:type="dxa" w:w="2946"/>
          </w:tcPr>
          <w:p>
            <w:r>
              <w:t>1.8%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284</w:t>
            </w:r>
          </w:p>
        </w:tc>
        <w:tc>
          <w:tcPr>
            <w:tcW w:type="dxa" w:w="2946"/>
          </w:tcPr>
          <w:p>
            <w:r>
              <w:t>9.6%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475</w:t>
            </w:r>
          </w:p>
        </w:tc>
        <w:tc>
          <w:tcPr>
            <w:tcW w:type="dxa" w:w="2946"/>
          </w:tcPr>
          <w:p>
            <w:r>
              <w:t>16.0%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2160</w:t>
            </w:r>
          </w:p>
        </w:tc>
        <w:tc>
          <w:tcPr>
            <w:tcW w:type="dxa" w:w="2946"/>
          </w:tcPr>
          <w:p>
            <w:r>
              <w:t>72.7%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