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2026-04-18</w:t>
      </w:r>
    </w:p>
    <w:p>
      <w:pPr>
        <w:jc w:val="center"/>
      </w:pPr>
      <w:r>
        <w:rPr>
          <w:color w:val="808080"/>
          <w:sz w:val="18"/>
        </w:rPr>
        <w:t>생성 모델: claude-sonnet-4-6  |  HIGH+MEDIUM 760건 (해외 228건 / 국내 532건)</w:t>
      </w:r>
    </w:p>
    <w:p/>
    <w:p>
      <w:pPr>
        <w:pStyle w:val="Heading2"/>
      </w:pPr>
      <w:r>
        <w:t>오늘의 핵심</w:t>
      </w:r>
    </w:p>
    <w:p>
      <w:r>
        <w:t>호르무즈 해협은 이란의 재봉쇄 선언과 개방 반복으로 극도의 불안정 상태를 보이고 있으며, 이란 혁명수비대가 인도 유조선 등 복수의 선박에 실제 발포하고 이란이 '엄격한 통제' 재개를 선언하면서 긴장이 재고조되었다. 한편 호르무즈 개방 국면에서 WTI가 80달러대로 급락하고 국제유가가 10~11% 급락하는 등 유가 롤러코스터가 지속되고 있으나, 국내 전국 평균 휘발유 가격은 2,000원을 돌파하고 LCC 유류할증료는 전쟁 전 대비 6배 수준으로 급등한 상태다. 한국 선박은 50일간의 봉쇄 이후 첫 호르무즈 통과를 계획 중이나 재봉쇄 선언으로 다수 선박이 회항하는 등 해운업계는 여전히 관망세를 유지하고 있다. 국내에서는 요소수 사재기, 아스콘 수급난, 나프타 공급 위기, 철강 직격탄 등 중동발 공급망 교란이 다양한 산업으로 확산되고 있으며, 중기부는 1,300억 규모 수출바우처 지원으로 중동 피해기업 지원에 나섰다.</w:t>
      </w:r>
    </w:p>
    <w:p/>
    <w:p>
      <w:pPr>
        <w:pStyle w:val="Heading2"/>
      </w:pPr>
      <w:r>
        <w:t>카테고리별 분석</w:t>
      </w:r>
    </w:p>
    <w:p>
      <w:pPr>
        <w:pStyle w:val="Heading3"/>
      </w:pPr>
      <w:r>
        <w:t>안보·군사  (HIGH 366 / MEDIUM 169)</w:t>
      </w:r>
    </w:p>
    <w:p>
      <w:r>
        <w:rPr>
          <w:b/>
        </w:rPr>
        <w:t>🌐 해외 상황</w:t>
      </w:r>
    </w:p>
    <w:p>
      <w:r>
        <w:t>이란 혁명수비대가 호르무즈 해협에서 인도 유조선 등 복수의 선박에 발포하고, 이란이 해협을 '엄격한 통제' 하에 재봉쇄했다고 선언했다. 미국 언론은 이란이 호르무즈 해협을 재차 봉쇄하며 선박 피격이 잇따랐다고 보도했으며, 영국 군당국도 호르무즈 인근에서 컨테이너선 피격을 확인했다. 인도는 두 척의 선박 피격에 대해 '깊은 우려'를 표명했으며, 인도네시아·자메이카 등 복수 국가 언론도 이란의 재봉쇄를 주요 뉴스로 보도했다. 트럼프 대통령은 이란의 호르무즈 통제 재개에도 불구하고 '협상이 순조롭게 진행 중'이라고 밝히며 '협박은 통하지 않는다'고 경고했다.</w:t>
      </w:r>
    </w:p>
    <w:p>
      <w:r>
        <w:rPr>
          <w:b/>
        </w:rPr>
        <w:t>🇰🇷 국내 영향</w:t>
      </w:r>
    </w:p>
    <w:p>
      <w:r>
        <w:t>국내 언론은 이란 군부가 외무장관에 경고를 날리며 호르무즈 재봉쇄 과정이 복잡하게 전개되고 있다고 보도했다. 트럼프의 '협상 순조' 발언과 이란의 재봉쇄 선언이 엇갈리는 가운데, 국내에서는 2차 종전협상 날짜조차 잡지 못한 상황으로 '시계제로' 상태가 지속되고 있다는 보도가 나왔다. 호르무즈 해협의 개방·봉쇄 반복은 한국의 중동산 원유·LPG 수입 안정성에 직접적 위협 요인으로 작용하고 있다.</w:t>
      </w:r>
    </w:p>
    <w:p>
      <w:pPr>
        <w:pStyle w:val="Heading3"/>
      </w:pPr>
      <w:r>
        <w:t>운임·물류비  (HIGH 3 / MEDIUM 2)</w:t>
      </w:r>
    </w:p>
    <w:p>
      <w:r>
        <w:rPr>
          <w:b/>
        </w:rPr>
        <w:t>🌐 해외 상황</w:t>
      </w:r>
    </w:p>
    <w:p>
      <w:r>
        <w:t>오만 언론은 호르무즈 해협이 개방 상태이나 실제 통행량은 매우 적다고 보도했다.</w:t>
      </w:r>
    </w:p>
    <w:p>
      <w:r>
        <w:rPr>
          <w:b/>
        </w:rPr>
        <w:t>🇰🇷 국내 영향</w:t>
      </w:r>
    </w:p>
    <w:p>
      <w:r>
        <w:t>국내 보도에 따르면 호르무즈 재봉쇄 이후 통행량이 확연히 늘었다가 재봉쇄로 다시 회항하는 상황이 반복되고 있다. 이란 의회 의원이 호르무즈를 통과하는 상선에 통행료 지불을 요구해야 한다고 발언해 추가적인 물류비 부담 가능성이 제기되었다. LCC 유류할증료는 전쟁 전 대비 6배 수준으로 급등했으며, 업계는 종전 이후에도 즉각적인 하락은 어렵다는 전망을 내놓았고, 이로 인한 여행 수요 위축 우려도 보도되었다.</w:t>
      </w:r>
    </w:p>
    <w:p>
      <w:pPr>
        <w:pStyle w:val="Heading3"/>
      </w:pPr>
      <w:r>
        <w:t>항만·화물  (HIGH 0 / MEDIUM 3)</w:t>
      </w:r>
    </w:p>
    <w:p>
      <w:r>
        <w:rPr>
          <w:b/>
        </w:rPr>
        <w:t>🌐 해외 상황</w:t>
      </w:r>
    </w:p>
    <w:p>
      <w:r>
        <w:t>이스라엘 언론은 이란 카르그섬과 반다르 마흐샤르 항구에서 5척의 유조선이 원유를 선적하는 모습이 포착되었다고 보도했다.</w:t>
      </w:r>
    </w:p>
    <w:p>
      <w:r>
        <w:rPr>
          <w:b/>
        </w:rPr>
        <w:t>🇰🇷 국내 영향</w:t>
      </w:r>
    </w:p>
    <w:p>
      <w:r>
        <w:t>울산항만공사는 통근버스 탑승 독려 등 자원안보 위기 대응에 총력을 기울이고 있다고 보도되었다. 미국으로 향하는 유조선 증가 동향이 국내 언론에서도 주목받고 있으며, 이는 트럼프 행정부의 원유 수입 확대 발언이 실제로 이행되고 있음을 시사하는 것으로 보인다.</w:t>
      </w:r>
    </w:p>
    <w:p>
      <w:pPr>
        <w:pStyle w:val="Heading3"/>
      </w:pPr>
      <w:r>
        <w:t>경제·금융  (HIGH 23 / MEDIUM 136)</w:t>
      </w:r>
    </w:p>
    <w:p>
      <w:r>
        <w:rPr>
          <w:b/>
        </w:rPr>
        <w:t>🌐 해외 상황</w:t>
      </w:r>
    </w:p>
    <w:p>
      <w:r>
        <w:t>호르무즈 해협 개방 국면에서 국제유가가 급락해 WTI가 85달러 아래로 떨어졌으며, 캐나다·미국 증시는 랠리를 보이고 월스트리트는 사상 최고치에 근접했다. 네덜란드 내각은 국가 석유 위기 계획 1단계를 발동했으며, 미국 언론은 페르시아만 긴장이 지속될 경우 휘발유 가격 하락이 빠르게 이루어지지 않을 수 있다고 보도했다. 트럼프 대통령이 유가 92달러를 '낮은 수준'이라고 언급한 이후 유가가 수 시간 내 9% 급락했으나, 재봉쇄 선언으로 반전 가능성도 제기되었다.</w:t>
      </w:r>
    </w:p>
    <w:p>
      <w:r>
        <w:rPr>
          <w:b/>
        </w:rPr>
        <w:t>🇰🇷 국내 영향</w:t>
      </w:r>
    </w:p>
    <w:p>
      <w:r>
        <w:t>국내에서는 호르무즈 개방 기대감에 국제유가가 11% 급락하고 WTI가 80달러대로 내려앉았으나, 전국 평균 휘발유 가격은 2,000원을 돌파해 3년 8개월 만에 최고치를 기록했다. 기획재정부 장관은 원·달러 환율이 안정화되고 있다고 밝혔으며, 호르무즈 개방 발표 직전 유가 하락에 베팅이 집중되어 정보 유출 의혹이 제기되었다. 전쟁·휴전·제재 완화 신호가 엇갈리며 유가 롤러코스터가 지속되고 있고, 연준 금리 경로도 주목받고 있다.</w:t>
      </w:r>
    </w:p>
    <w:p>
      <w:pPr>
        <w:pStyle w:val="Heading3"/>
      </w:pPr>
      <w:r>
        <w:t>수산물  (HIGH 0 / MEDIUM 1)</w:t>
      </w:r>
    </w:p>
    <w:p>
      <w:r>
        <w:rPr>
          <w:b/>
        </w:rPr>
        <w:t>🇰🇷 국내 영향</w:t>
      </w:r>
    </w:p>
    <w:p>
      <w:r>
        <w:t>국내 어업인 기고를 통해 수산 분야에서도 스태그플레이션 현상이 나타나고 있으며 구조적 변화가 필요하다는 목소리가 제기되었다.</w:t>
      </w:r>
    </w:p>
    <w:p>
      <w:pPr>
        <w:pStyle w:val="Heading3"/>
      </w:pPr>
      <w:r>
        <w:t>해운  (HIGH 29 / MEDIUM 3)</w:t>
      </w:r>
    </w:p>
    <w:p>
      <w:r>
        <w:rPr>
          <w:b/>
        </w:rPr>
        <w:t>🌐 해외 상황</w:t>
      </w:r>
    </w:p>
    <w:p>
      <w:r>
        <w:t>인도·그리스 유조선이 호르무즈 해협 진입 직전 U턴하는 사례가 포착되었으며, 인도네시아 페르타미나 선박들은 긴장이 소폭 완화된 시점에 호르무즈 통과를 준비 중인 것으로 보도되었다. 선박 추적 데이터에 따르면 유조선 선단이 걸프만을 빠져나가는 움직임이 포착되었으며, 가스 운반선·화학 탱커 등이 포함된 선단이 호르무즈를 통과했다. 크루즈선 '셀레스티얼 디스커버리'가 전쟁 발발 이후 처음으로 호르무즈 해협을 통과했으며, 이란 발포 이전에 일부 유조선이 해협을 통과한 것이 선박 추적 데이터로 확인되었다.</w:t>
      </w:r>
    </w:p>
    <w:p>
      <w:r>
        <w:rPr>
          <w:b/>
        </w:rPr>
        <w:t>🇰🇷 국내 영향</w:t>
      </w:r>
    </w:p>
    <w:p>
      <w:r>
        <w:t>미국 당국은 호르무즈 봉쇄 이후 이란을 오가는 23척의 선박이 회항했다고 밝혔으며, 국내 보도에 따르면 유조선 약 10척이 호르무즈 통과를 시도하다 되돌아갔다. 단독 보도에 따르면 50일간의 봉쇄 끝에 한국 선박이 호르무즈 첫 통과를 계획 중이나, 이란군의 재봉쇄 선언으로 해협에 진입한 선박들도 회항하는 상황이 발생했다. LPG 탱커 등 일부 선박은 호르무즈 해협을 통과했으나, 해운업계는 전반적으로 관망세를 유지하고 있으며 이란이 '적대 세력'의 통항을 불허한다고 밝혀 불확실성이 지속되고 있다.</w:t>
      </w:r>
    </w:p>
    <w:p>
      <w:pPr>
        <w:pStyle w:val="Heading3"/>
      </w:pPr>
      <w:r>
        <w:t>물류  (HIGH 0 / MEDIUM 2)</w:t>
      </w:r>
    </w:p>
    <w:p>
      <w:r>
        <w:rPr>
          <w:b/>
        </w:rPr>
        <w:t>🇰🇷 국내 영향</w:t>
      </w:r>
    </w:p>
    <w:p>
      <w:r>
        <w:t>중소벤처기업부는 1,300억 규모의 수출바우처 지원 사업을 추진하며 중동 피해기업을 우선 지원하기로 했다. 정부는 인도·베트남 5박 6일 순방을 통해 경제 협력 및 공급망 공조를 추진하고 있다.</w:t>
      </w:r>
    </w:p>
    <w:p>
      <w:pPr>
        <w:pStyle w:val="Heading3"/>
      </w:pPr>
      <w:r>
        <w:t>기타 산업  (HIGH 2 / MEDIUM 21)</w:t>
      </w:r>
    </w:p>
    <w:p>
      <w:r>
        <w:rPr>
          <w:b/>
        </w:rPr>
        <w:t>🌐 해외 상황</w:t>
      </w:r>
    </w:p>
    <w:p>
      <w:r>
        <w:t>페르시아만 에너지 생산 회복에는 전쟁 종료 이후에도 수개월이 소요될 것이라는 전망이 나왔으며, 사우디 재무장관도 걸프 지역의 에너지 생산 확대에 시간이 필요하다고 밝혔다. 요소 가격이 한 달 전 대비 34% 급등하는 등 비료 5종의 가격이 크게 상승했으며, 아르헨티나 밀 생산이 이란 전쟁으로 인한 요소 비료 가격 급등으로 위협받고 있다. 라이스타드 에너지 보고서는 중동 분쟁으로 인한 수리 비용이 580억 달러에 달한다고 분석했으며, 이란 전쟁으로 고무장갑 원자재 공급이 교란되어 장갑 가격이 급등했다.</w:t>
      </w:r>
    </w:p>
    <w:p>
      <w:r>
        <w:rPr>
          <w:b/>
        </w:rPr>
        <w:t>🇰🇷 국내 영향</w:t>
      </w:r>
    </w:p>
    <w:p>
      <w:r>
        <w:t>중동 리스크로 국내 철강 업계가 직격탄을 맞았으며, 금융권은 80조 원 이상의 지원을 총동원하고 있다. 요소수 사재기가 폭주하며 요소수 1위 업체가 판매 중단 사태에 이르렀고, 광주 지역에서는 중동발 아스콘 수급난으로 도로 공사 30km·16곳이 전면 중단되었다. 한·일 양국에서 나프타 의존 구조로 인한 주사기·수액백 공급 대란이 발생했으며, 롯데정밀화학은 암모니아 가격 폭등으로 실적 반전 신호가 나타났다. 대우건설은 일본 LNG EPC 기업들과 파트너십을 강화하며 글로벌 에너지 시장 대응에 나섰다.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2005</w:t>
            </w:r>
          </w:p>
        </w:tc>
        <w:tc>
          <w:tcPr>
            <w:tcW w:type="dxa" w:w="2946"/>
          </w:tcPr>
          <w:p>
            <w:r>
              <w:t>100.0%</w:t>
            </w:r>
          </w:p>
        </w:tc>
      </w:tr>
      <w:tr>
        <w:tc>
          <w:tcPr>
            <w:tcW w:type="dxa" w:w="2946"/>
          </w:tcPr>
          <w:p>
            <w:r>
              <w:t>HIGH</w:t>
            </w:r>
          </w:p>
        </w:tc>
        <w:tc>
          <w:tcPr>
            <w:tcW w:type="dxa" w:w="2946"/>
          </w:tcPr>
          <w:p>
            <w:r>
              <w:t>423</w:t>
            </w:r>
          </w:p>
        </w:tc>
        <w:tc>
          <w:tcPr>
            <w:tcW w:type="dxa" w:w="2946"/>
          </w:tcPr>
          <w:p>
            <w:r>
              <w:t>21.1%</w:t>
            </w:r>
          </w:p>
        </w:tc>
      </w:tr>
      <w:tr>
        <w:tc>
          <w:tcPr>
            <w:tcW w:type="dxa" w:w="2946"/>
          </w:tcPr>
          <w:p>
            <w:r>
              <w:t>MEDIUM</w:t>
            </w:r>
          </w:p>
        </w:tc>
        <w:tc>
          <w:tcPr>
            <w:tcW w:type="dxa" w:w="2946"/>
          </w:tcPr>
          <w:p>
            <w:r>
              <w:t>337</w:t>
            </w:r>
          </w:p>
        </w:tc>
        <w:tc>
          <w:tcPr>
            <w:tcW w:type="dxa" w:w="2946"/>
          </w:tcPr>
          <w:p>
            <w:r>
              <w:t>16.8%</w:t>
            </w:r>
          </w:p>
        </w:tc>
      </w:tr>
      <w:tr>
        <w:tc>
          <w:tcPr>
            <w:tcW w:type="dxa" w:w="2946"/>
          </w:tcPr>
          <w:p>
            <w:r>
              <w:t>LOW</w:t>
            </w:r>
          </w:p>
        </w:tc>
        <w:tc>
          <w:tcPr>
            <w:tcW w:type="dxa" w:w="2946"/>
          </w:tcPr>
          <w:p>
            <w:r>
              <w:t>261</w:t>
            </w:r>
          </w:p>
        </w:tc>
        <w:tc>
          <w:tcPr>
            <w:tcW w:type="dxa" w:w="2946"/>
          </w:tcPr>
          <w:p>
            <w:r>
              <w:t>13.0%</w:t>
            </w:r>
          </w:p>
        </w:tc>
      </w:tr>
      <w:tr>
        <w:tc>
          <w:tcPr>
            <w:tcW w:type="dxa" w:w="2946"/>
          </w:tcPr>
          <w:p>
            <w:r>
              <w:t>NONE</w:t>
            </w:r>
          </w:p>
        </w:tc>
        <w:tc>
          <w:tcPr>
            <w:tcW w:type="dxa" w:w="2946"/>
          </w:tcPr>
          <w:p>
            <w:r>
              <w:t>984</w:t>
            </w:r>
          </w:p>
        </w:tc>
        <w:tc>
          <w:tcPr>
            <w:tcW w:type="dxa" w:w="2946"/>
          </w:tcPr>
          <w:p>
            <w:r>
              <w:t>49.1%</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