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2026-08-25</w:t>
      </w:r>
    </w:p>
    <w:p>
      <w:pPr>
        <w:jc w:val="center"/>
      </w:pPr>
      <w:r>
        <w:rPr>
          <w:color w:val="808080"/>
          <w:sz w:val="18"/>
        </w:rPr>
        <w:t>생성 모델: claude-sonnet-4-6  |  HIGH+MEDIUM 444건 (해외 269건 / 국내 175건)</w:t>
      </w:r>
    </w:p>
    <w:p/>
    <w:p>
      <w:pPr>
        <w:pStyle w:val="Heading2"/>
      </w:pPr>
      <w:r>
        <w:t>오늘의 핵심</w:t>
      </w:r>
    </w:p>
    <w:p>
      <w:r>
        <w:t>트럼프 대통령은 미 해군이 호르무즈 해협 내 기뢰를 제거했다고 발표하며 이란의 추가 기뢰 부설을 경고했고[1][3][6][15], 이란·오만 간 항행 협정 논의가 진행 중이나[7][16] 이란은 선박 45척 블랙리스트를 공개하며 해운업계 긴장이 지속되고 있다[18][19][20]. 호르무즈 해협 통과 선박 수는 3개월 최저치를 기록했으며[26][27][31] 아웃바운드 통과량은 사실상 제로 수준까지 떨어졌고[24], 건화물 운임은 이란 전쟁 여파로 36% 급등해 3년 최고치를 기록했다[29]. 외교적 완화 기대감으로 WTI는 3.4% 하락하고[63][64] 달러화도 약보합세를 보였으나[69], 서울 증시는 기술주 매도세로 장중 급락하는 등 변동성이 지속됐다[62]. 국내에서는 캠코가 2,860억 원 규모 선박펀드를 조성해 부산 해운사를 지원하기로 했으며[83][84][85], 경남 전 해역에 고수온 경보가 확대되며 양식어류 피해가 급증하고 있다[71][72][73].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61 / MEDIUM 195)</w:t>
      </w:r>
    </w:p>
    <w:p>
      <w:r>
        <w:rPr>
          <w:b/>
        </w:rPr>
        <w:t>🌐 해외 상황</w:t>
      </w:r>
    </w:p>
    <w:p>
      <w:r>
        <w:t>트럼프 대통령은 미 해군이 호르무즈 해협 내 모든 기뢰를 제거했다고 밝히며 이란이 추가로 기뢰를 부설할 경우 경고하겠다고 발표했다[1][3][6]. 이란과 오만은 호르무즈 해협 관리 방안을 논의 중이며 파키스탄 중재로 미·이란 협상에서 상당한 진전이 있었다는 보도가 나왔다[7][16]. 한편 오만 인근 해상에서 정체불명의 발사체에 피격된 유조선이 운항 불능 상태가 됐다는 UKMTO 발표가 있었고[8][10], 이란 PGSA의 선박 블랙리스트 발표로 호르무즈 해운 우려가 심화됐다[5]. 미국은 이란에 호르무즈 개방 시 해상봉쇄 중단 및 제재 해제를 제안한 것으로 알려졌으며[17], 유가는 이란 외교 협상 기대감으로 하락세를 보였다[9].</w:t>
      </w:r>
    </w:p>
    <w:p>
      <w:r>
        <w:rPr>
          <w:b/>
        </w:rPr>
        <w:t>🇰🇷 국내 영향</w:t>
      </w:r>
    </w:p>
    <w:p>
      <w:r>
        <w:t>서울은 미국의 대이란 확대 제재 파급 영향을 평가 중이며[13][14], 이란이 한국 선박을 포함한 45척을 블랙리스트에 올리며 국내 해운업계가 긴장하고 있다[18][19]. 이란의 제재 맞불 조치로 한국 해운사들이 '새우등'이 터지는 상황에 처했다는 분석이 나왔다[79]. 트럼프의 이란 전쟁 이후 대응이 한국에 좋지 않은 신호라는 칼럼도 제기됐다[12]. 호르무즈 재개방 논의가 진행 중이나 이란의 블랙리스트 공개 등 긴장 요인이 병존하고 있어 국내 해운·에너지 업계의 불확실성이 지속되고 있다[16][20].</w:t>
      </w:r>
    </w:p>
    <w:p>
      <w:pPr>
        <w:pStyle w:val="Heading3"/>
      </w:pPr>
      <w:r>
        <w:t>해양안전  (HIGH 1 / MEDIUM 2)</w:t>
      </w:r>
    </w:p>
    <w:p>
      <w:r>
        <w:rPr>
          <w:b/>
        </w:rPr>
        <w:t>🌐 해외 상황</w:t>
      </w:r>
    </w:p>
    <w:p>
      <w:r>
        <w:t>파나마 선적 선박이 침몰해 22명의 선원이 실종됐으며 구명정과 비콘이 발견됐다[21]. 영국 카디프 독에 정박 중인 선박에서 대형 화재가 발생했다[22].</w:t>
      </w:r>
    </w:p>
    <w:p>
      <w:r>
        <w:rPr>
          <w:b/>
        </w:rPr>
        <w:t>🇰🇷 국내 영향</w:t>
      </w:r>
    </w:p>
    <w:p>
      <w:r>
        <w:t>서산 대산항에서 선박 예인 작업 중 끊어진 줄에 70대 작업자가 부상을 입고 사망하는 사고가 발생했다[23].</w:t>
      </w:r>
    </w:p>
    <w:p>
      <w:pPr>
        <w:pStyle w:val="Heading3"/>
      </w:pPr>
      <w:r>
        <w:t>운임·물류비  (HIGH 14 / MEDIUM 9)</w:t>
      </w:r>
    </w:p>
    <w:p>
      <w:r>
        <w:rPr>
          <w:b/>
        </w:rPr>
        <w:t>🌐 해외 상황</w:t>
      </w:r>
    </w:p>
    <w:p>
      <w:r>
        <w:t>호르무즈 해협의 아웃바운드 통과량이 사실상 제로 수준으로 떨어졌으며[24], 유조선 통과량은 5월 이후 최저 수준을 기록했다[25][28]. 상품 선박의 호르무즈 통과량도 3개월 최저치를 기록했고[26][30][31], 전쟁 발발 6개월이 지난 현재에도 호르무즈 교통량은 크게 감소한 상태가 지속되고 있다[32][33]. 건화물 운임은 이란 전쟁과 유가 상승 여파로 36% 급등해 3년 최고치를 기록했으며[29], 인도의 원유 수입 비용은 호르무즈 해운 운임 급등으로 크게 증가했다[27].</w:t>
      </w:r>
    </w:p>
    <w:p>
      <w:r>
        <w:rPr>
          <w:b/>
        </w:rPr>
        <w:t>🇰🇷 국내 영향</w:t>
      </w:r>
    </w:p>
    <w:p>
      <w:r>
        <w:t>중동 사태가 파나마운하 리스크로 확산되며 물류비 상승과 국내 타격 우려가 제기됐고[35][36], 말라카 해협은 하루 2,320만 배럴 통과가 재확인됐다[37]. 말레이시아 원유 원산지증명 기간이 184일에서 45일로 단축되며 석화업계 관세환급이 4개월 앞당겨질 전망이다[34]. 부산발 해상운임은 중남미·미주 노선을 중심으로 강세를 보이며 4,500선을 돌파했고[40], HMM에 대한 투자의견이 '매수'로 상향됐다[39]. 해진공이 발표한 한국형 컨테이너운임지수가 금융권으로 활용 범위를 확대하고 있다[38].</w:t>
      </w:r>
    </w:p>
    <w:p>
      <w:pPr>
        <w:pStyle w:val="Heading3"/>
      </w:pPr>
      <w:r>
        <w:t>항만·화물  (HIGH 3 / MEDIUM 6)</w:t>
      </w:r>
    </w:p>
    <w:p>
      <w:r>
        <w:rPr>
          <w:b/>
        </w:rPr>
        <w:t>🌐 해외 상황</w:t>
      </w:r>
    </w:p>
    <w:p>
      <w:r>
        <w:t>우크라이나의 러시아 공격 강화로 곡물 수출이 중단되며 우크라이나 곡물 수출량이 사상 최저치를 기록했다[42][43]. 인도 한 도시에서는 유조선 도착으로 연료 공급이 완화됐다[44].</w:t>
      </w:r>
    </w:p>
    <w:p>
      <w:r>
        <w:rPr>
          <w:b/>
        </w:rPr>
        <w:t>🇰🇷 국내 영향</w:t>
      </w:r>
    </w:p>
    <w:p>
      <w:r>
        <w:t>인천항이 호주산 초경질유 첫 수입 관문으로 새로운 물동량 창출에 나섰다[45]. 인천항의 Sea&amp;Air 물동량은 증가했으나 평택항에 밀리는 상황이며 부산항도 경쟁에 나서고 있다[46]. 한국가스공사는 전국 5개 LNG 생산기지에 대해 공간안전인증을 획득했으며[47][48][49], 광양항은 국제 카페리 정기 항로 사업자를 모집 중이다[50].</w:t>
      </w:r>
    </w:p>
    <w:p>
      <w:pPr>
        <w:pStyle w:val="Heading3"/>
      </w:pPr>
      <w:r>
        <w:t>경제·금융  (HIGH 5 / MEDIUM 66)</w:t>
      </w:r>
    </w:p>
    <w:p>
      <w:r>
        <w:rPr>
          <w:b/>
        </w:rPr>
        <w:t>🌐 해외 상황</w:t>
      </w:r>
    </w:p>
    <w:p>
      <w:r>
        <w:t>미국의 이란 경제 제재 압박과 외교 협상 기대감으로 국제유가가 하락했으며, WTI는 약 4% 하락했다[51][55]. 브렌트유는 92달러 수준에서 거래됐고[52], 유가 하락이 주식·채권 시장 안정에 기여했다[53]. 캐나다는 미국의 관세에 대한 보복으로 철강·알루미늄에 50% 관세를 부과하는 등 미·캐나다 무역전쟁이 격화됐다[54][60]. 투기 세력은 브렌트유 순매수 포지션을 확대했으며[57], 이란·파키스탄 협상 소식에 유가가 추가 하락했다[58].</w:t>
      </w:r>
    </w:p>
    <w:p>
      <w:r>
        <w:rPr>
          <w:b/>
        </w:rPr>
        <w:t>🇰🇷 국내 영향</w:t>
      </w:r>
    </w:p>
    <w:p>
      <w:r>
        <w:t>서울 증시는 엔비디아 실적 발표를 앞두고 상승 마감했으나[61], 기술주 매도세로 장중 급락하는 등 변동성이 지속됐다[62]. WTI는 중동 외교관 복귀 소식에 3.4% 하락했고[63][64], 달러화는 미·이란 갈등 완화 기대감으로 약보합세를 보였으며 원·달러 환율은 1,386.1원으로 8거래일 만에 상승했다[66][69]. 인도의 4~6월 원유 수입비가 60% 급증한 것으로 나타났으며[65], 일본은 9·10월 국가 비축유 추가 방출을 하지 않기로 결정해 9월 원유 조달이 80% 수준으로 감소할 전망이다[70]. 고유가 피해지원금은 8월 31일 사용 마감으로 잔액이 자동 소멸된다[67].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경남 전 해역에 고수온 경보가 확대되며 양식어류 폐사가 급증하고 있다[71][72][73]. 당국은 양식어류 피해 최소화를 위해 총력 대응에 나서고 있다[72].</w:t>
      </w:r>
    </w:p>
    <w:p>
      <w:pPr>
        <w:pStyle w:val="Heading3"/>
      </w:pPr>
      <w:r>
        <w:t>해운  (HIGH 1 / MEDIUM 16)</w:t>
      </w:r>
    </w:p>
    <w:p>
      <w:r>
        <w:rPr>
          <w:b/>
        </w:rPr>
        <w:t>🌐 해외 상황</w:t>
      </w:r>
    </w:p>
    <w:p>
      <w:r>
        <w:t>사우디아라비아는 공급망 재편과 다변화를 통해 물류 허브로서의 위상을 강화하고 있다[74]. 인도는 750억 달러 규모의 해외 운임 지출을 줄이기 위해 선박 100척을 신규 건조할 계획을 발표했다[76]. 태풍 사우델이 일본·중국·대만 인근에 접근하며 항공편 수백 편이 영향을 받고 있다[77].</w:t>
      </w:r>
    </w:p>
    <w:p>
      <w:r>
        <w:rPr>
          <w:b/>
        </w:rPr>
        <w:t>🇰🇷 국내 영향</w:t>
      </w:r>
    </w:p>
    <w:p>
      <w:r>
        <w:t>이란의 제재 맞불 조치로 국내 해운사들이 압박을 받고 있다[79]. 일본은 호르무즈 우회 송유관 건설에 나서고 정유사에 운송 보조금을 지원하기로 했다[80]. 캠코는 2,860억 원 규모 선박펀드를 조성해 부산 중견 해운사를 지원하기로 했으며 SC은행과도 선박금융 지원 확대에 협력한다[83][84][85]. 북극항로 관련해서는 2040년 부산 물동량이 최대 780만 TEU에 달할 것이라는 전망이 나왔으나[86], 8월 현재 유빙과 해무가 복병으로 작용하고 있다[88].</w:t>
      </w:r>
    </w:p>
    <w:p>
      <w:pPr>
        <w:pStyle w:val="Heading3"/>
      </w:pPr>
      <w:r>
        <w:t>기타 산업  (HIGH 1 / MEDIUM 57)</w:t>
      </w:r>
    </w:p>
    <w:p>
      <w:r>
        <w:rPr>
          <w:b/>
        </w:rPr>
        <w:t>🌐 해외 상황</w:t>
      </w:r>
    </w:p>
    <w:p>
      <w:r>
        <w:t>우크라이나가 러시아 남부 아피프스키 정유공장과 가스 플랜트를 공격했으며, 노보샤흐틴스크 정유공장은 드론 공격으로 가동이 중단됐다[89][92][97][98]. 이란에서는 주유소 연료 부족으로 수 마일에 걸친 대기 행렬이 발생하는 연료 위기가 심화됐다[91]. 미국 농가는 관세와 이란 전쟁의 이중 압박으로 새로운 위기에 직면했으며[90], 글로벌 식량 시스템 불안정 우려도 제기됐다[94].</w:t>
      </w:r>
    </w:p>
    <w:p>
      <w:r>
        <w:rPr>
          <w:b/>
        </w:rPr>
        <w:t>🇰🇷 국내 영향</w:t>
      </w:r>
    </w:p>
    <w:p>
      <w:r>
        <w:t>고유가·고환율 영향으로 동원F&amp;B가 참치캔·음료 가격을 인상했다[99]. 한국가스공사는 전국 5개 LNG 생산기지에 대한 공간안전인증을 100% 획득하며 선제적 리스크 관리체계를 공인받았다[100][101][102]. 우크라이나의 러시아 정유공장 공격으로 러시아가 카자흐스탄에서 자국 원유를 정제해 역수입하는 상황이 발생했다[103][104]. 한화는 LNG 사업 법인 '한화호라이즌 USA'를 설립했으며[106], 석유화학 업계는 원료값 변동에 따른 래깅 효과로 수익성 불확실성이 지속되고 있다[107].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86</w:t>
            </w:r>
          </w:p>
        </w:tc>
        <w:tc>
          <w:tcPr>
            <w:tcW w:type="dxa" w:w="2946"/>
          </w:tcPr>
          <w:p>
            <w:r>
              <w:t>2.9%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358</w:t>
            </w:r>
          </w:p>
        </w:tc>
        <w:tc>
          <w:tcPr>
            <w:tcW w:type="dxa" w:w="2946"/>
          </w:tcPr>
          <w:p>
            <w:r>
              <w:t>12.0%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510</w:t>
            </w:r>
          </w:p>
        </w:tc>
        <w:tc>
          <w:tcPr>
            <w:tcW w:type="dxa" w:w="2946"/>
          </w:tcPr>
          <w:p>
            <w:r>
              <w:t>17.1%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2024</w:t>
            </w:r>
          </w:p>
        </w:tc>
        <w:tc>
          <w:tcPr>
            <w:tcW w:type="dxa" w:w="2946"/>
          </w:tcPr>
          <w:p>
            <w:r>
              <w:t>68.0%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