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2026-05-07</w:t>
      </w:r>
    </w:p>
    <w:p>
      <w:pPr>
        <w:jc w:val="center"/>
      </w:pPr>
      <w:r>
        <w:rPr>
          <w:color w:val="808080"/>
          <w:sz w:val="18"/>
        </w:rPr>
        <w:t>생성 모델: claude-sonnet-4-6  |  HIGH+MEDIUM 477건 (해외 243건 / 국내 234건)</w:t>
      </w:r>
    </w:p>
    <w:p/>
    <w:p>
      <w:pPr>
        <w:pStyle w:val="Heading2"/>
      </w:pPr>
      <w:r>
        <w:t>오늘의 핵심</w:t>
      </w:r>
    </w:p>
    <w:p>
      <w:r>
        <w:t>이란이 호르무즈 해협 통제를 위한 신규 기관을 창설하고 새로운 선박 통항 규칙을 부과하면서[3][8][10] 봉쇄 장기화 국면이 심화되고 있으며, CIA 보고서는 이란이 미국의 봉쇄를 수개월간 버틸 수 있고 상당한 미사일 비축량을 보유하고 있다고 평가했다[1][4][6]. IMO에 따르면 현재 선박 1,500척·선원 2만 명이 호르무즈 봉쇄로 발이 묶인 상태이며[9] 해협 통과 선박 수는 전쟁 개시 이후 최저 수준으로 떨어졌다[29]. 한국 측에서는 호르무즈 우회 홍해 경유 첫 한국 유조선이 원유 200만 배럴을 싣고 여수항에 도착했고[87][88][89][90][91][92][93][94][95] 정부는 5~7월 원유 2억 1,000만 배럴 도입 계획을 밝히며 평시 대비 80% 이상 수급률을 유지하겠다고 발표했다[48][53][54]. HMM 나무호 화재 사고와 관련해 이란 국영 언론이 한국 선박을 표적으로 삼았다고 주장했으나 한국 정부는 이를 선전·선동으로 규정했으며[18][19] 정부 합동조사단이 두바이로 파견되어 현지 조사에 착수했다[26][27]. 트럼프 대통령은 이란이 핵무기 포기에 동의했다고 밝히며 일주일 내 협상 타결 가능성을 시사했으나[16][17] 시장은 여전히 미·이란 합의 전까지 유가 급등락이 지속될 것으로 보고 있다[68].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67 / MEDIUM 120)</w:t>
      </w:r>
    </w:p>
    <w:p>
      <w:r>
        <w:rPr>
          <w:b/>
        </w:rPr>
        <w:t>🌐 해외 상황</w:t>
      </w:r>
    </w:p>
    <w:p>
      <w:r>
        <w:t>이란은 호르무즈 해협 선박 통제를 위한 신규 기관을 창설하고 전시 이익 확보를 위한 새로운 통항 규칙을 부과했다[3][8][10]. CIA 보고서는 이란이 미국의 봉쇄를 수개월간 견딜 수 있으며 상당한 미사일 비축량을 보유하고 있다고 평가했다[1][4][6]. IMO는 호르무즈 봉쇄로 선박 1,500척과 선원 2만 명이 발이 묶였다고 밝혔으며[9] 해협 인근에서 유조선 피격 사건이 발생해 미국이 지원을 일시 중단했다[7]. 프랑스 항공모함이 수에즈 운하를 통과해 호르무즈 방어 임무를 위해 이동 중이며[2][12] 트럼프 대통령은 방중 전 이란과 종전 타결에 자신감을 보이면서도 협상 불발 시 공격 가능성을 언급했다[14].</w:t>
      </w:r>
    </w:p>
    <w:p>
      <w:r>
        <w:rPr>
          <w:b/>
        </w:rPr>
        <w:t>🇰🇷 국내 영향</w:t>
      </w:r>
    </w:p>
    <w:p>
      <w:r>
        <w:t>이란 국영 언론이 한국 선박을 표적으로 삼았다고 주장했으나 한국 정부는 이를 선전·선동으로 규정했다[18][19]. 한국 정부는 호르무즈 해협 선박 화재 원인에 대해 신중한 입장을 유지하고 있으며[11] 화물선 화재 사건을 둘러싼 이란 측의 엇갈린 메시지가 혼란을 야기하고 있다[20]. 정부는 조사단을 현지에 파견해 HMM 나무호 화재 원인 규명에 착수했다[13][26][27]. 종전 분위기가 감지되고 있으나 봉쇄를 돌파하려는 이란 유조선 관련 동향이 지속되어 안심하기 이른 상황으로 보인다[15].</w:t>
      </w:r>
    </w:p>
    <w:p>
      <w:pPr>
        <w:pStyle w:val="Heading3"/>
      </w:pPr>
      <w:r>
        <w:t>해양안전  (HIGH 4 / MEDIUM 4)</w:t>
      </w:r>
    </w:p>
    <w:p>
      <w:r>
        <w:rPr>
          <w:b/>
        </w:rPr>
        <w:t>🇰🇷 국내 영향</w:t>
      </w:r>
    </w:p>
    <w:p>
      <w:r>
        <w:t>HMM 나무호가 두바이항으로 예인을 시작했으며[21][22][25][28] 해양수산부는 조사단을 두바이에 파견했다[26]. 나무호의 두바이 도착 후 본격적인 사고 원인 조사가 시작될 예정이며[23][27] HMM 노조위원장은 좌현 폭발음 이후 화재가 발생했다고 증언했다[24].</w:t>
      </w:r>
    </w:p>
    <w:p>
      <w:pPr>
        <w:pStyle w:val="Heading3"/>
      </w:pPr>
      <w:r>
        <w:t>운임·물류비  (HIGH 2 / MEDIUM 9)</w:t>
      </w:r>
    </w:p>
    <w:p>
      <w:r>
        <w:rPr>
          <w:b/>
        </w:rPr>
        <w:t>🌐 해외 상황</w:t>
      </w:r>
    </w:p>
    <w:p>
      <w:r>
        <w:t>호르무즈 해협 봉쇄 지속으로 해운사들의 비용 부담이 가중되고 있으며[30] 해협 통과 선박 수는 전쟁 개시 이후 최저 수준으로 떨어졌다[29]. 케이프사이즈 수요 증가로 건화물 운임이 2년 만에 최고치를 기록했다[32][33]. 비료 해상 운송은 여전히 위험 수준이 높은 것으로 평가되고 있으며[35] 공급망 초크포인트 문제 해결의 필요성이 제기되고 있다[36].</w:t>
      </w:r>
    </w:p>
    <w:p>
      <w:r>
        <w:rPr>
          <w:b/>
        </w:rPr>
        <w:t>🇰🇷 국내 영향</w:t>
      </w:r>
    </w:p>
    <w:p>
      <w:r>
        <w:t>정부는 고유가 부담을 겪는 연안해운선사를 위해 추경 226억 원을 집행하기로 했으며[37] 중동발 운영난을 겪는 연안선사에 긴급 자금을 지원한다[38]. 수프라막스 시장에서는 화물은 줄었으나 운임은 오르는 공급 부족 현상이 나타나고 있다[39].</w:t>
      </w:r>
    </w:p>
    <w:p>
      <w:pPr>
        <w:pStyle w:val="Heading3"/>
      </w:pPr>
      <w:r>
        <w:t>항만·화물  (HIGH 22 / MEDIUM 5)</w:t>
      </w:r>
    </w:p>
    <w:p>
      <w:r>
        <w:rPr>
          <w:b/>
        </w:rPr>
        <w:t>🌐 해외 상황</w:t>
      </w:r>
    </w:p>
    <w:p>
      <w:r>
        <w:t>호르무즈 봉쇄로 아시아의 정제유 수출이 급감했다[40]. 호주 정부는 연료 비축량 확대를 위한 100억 달러 규모의 계획을 추진 중이며[41] 파키스탄은 민간 정유사의 디젤 수입을 금지하고 PSO에 독점권을 부여했다[42]. 미국 캘리포니아에는 중동발 마지막 유조선이 도착하며 불확실성이 고조되고 있다[43].</w:t>
      </w:r>
    </w:p>
    <w:p>
      <w:r>
        <w:rPr>
          <w:b/>
        </w:rPr>
        <w:t>🇰🇷 국내 영향</w:t>
      </w:r>
    </w:p>
    <w:p>
      <w:r>
        <w:t>정부는 5~7월 원유 도입량을 2억 1,000만 배럴로 계획하며 평시 대비 80% 이상 수급률을 유지하겠다고 밝혔다[48][53][54]. 이달 나프타는 전쟁 전 대비 90% 수준을 확보했으며[49][50][52] 석유 최고가격 5차 동결과 함께 원유·나프타 평시 대비 80~90% 확보 상황이 발표됐다[51]. 울산항만공사는 호르무즈 해협에 체류 중인 선박에 선용품을 지급했다[46].</w:t>
      </w:r>
    </w:p>
    <w:p>
      <w:pPr>
        <w:pStyle w:val="Heading3"/>
      </w:pPr>
      <w:r>
        <w:t>경제·금융  (HIGH 2 / MEDIUM 153)</w:t>
      </w:r>
    </w:p>
    <w:p>
      <w:r>
        <w:rPr>
          <w:b/>
        </w:rPr>
        <w:t>🌐 해외 상황</w:t>
      </w:r>
    </w:p>
    <w:p>
      <w:r>
        <w:t>호르무즈 재개 기대감이 주가를 끌어올리며 유가는 배럴당 100달러 아래로 하락했다[55][63]. WTI는 중동 평화 기대감 지속으로 90달러를 향한 하락 추세를 보이고 있으며[64] 유럽 항공유 프리미엄은 미·이란 전쟁 이전 이후 최저 수준으로 떨어졌다[60]. 미국 주요 지수는 이란 협상 타결 기대 속에 강세를 보이고 있으나[59] 씨티는 미·이란 합의 전까지 유가 급등락이 지속될 것으로 전망했다[68]. 미국 가전업체 월풀은 이란 전쟁으로 경기침체 수준의 업황 부진을 겪고 있다고 밝혔다[73][74].</w:t>
      </w:r>
    </w:p>
    <w:p>
      <w:r>
        <w:rPr>
          <w:b/>
        </w:rPr>
        <w:t>🇰🇷 국내 영향</w:t>
      </w:r>
    </w:p>
    <w:p>
      <w:r>
        <w:t>이재명 대통령은 물가 안정에 총력을 기울이고 고유가·공급망 대응을 전방위적으로 지시했다[66]. 정부는 5차 석유 최고가격을 동결해 휘발유 리터당 1,934원, 경유 1,923원을 유지하며 고물가 속 민생 부담 최우선 고려 방침을 밝혔다[67][70][72]. 뉴욕 증시는 중동 평화 기대감에 3대 지수가 동반 강세를 보였으며[69][71] KOSPI도 상승 흐름을 이어가고 있다[65].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고유가 파고로 국내 수산업이 생존 기로에 놓였다는 우려가 제기되고 있다[75].</w:t>
      </w:r>
    </w:p>
    <w:p>
      <w:pPr>
        <w:pStyle w:val="Heading3"/>
      </w:pPr>
      <w:r>
        <w:t>해운  (HIGH 30 / MEDIUM 15)</w:t>
      </w:r>
    </w:p>
    <w:p>
      <w:r>
        <w:rPr>
          <w:b/>
        </w:rPr>
        <w:t>🌐 해외 상황</w:t>
      </w:r>
    </w:p>
    <w:p>
      <w:r>
        <w:t>머스크는 호르무즈 불확실성에도 불구하고 2026년 전망을 유지했으며 해양 물동량이 급증했다[83][85]. 머스크는 이란 전쟁으로 전망이 불투명한 가운데 1분기 실적이 예상을 상회했다[82]. 미국 군과 머스크가 협력해 선박 한 척을 호르무즈 해협 통과시키는 데 성공했으며[76] UAE는 이란 봉쇄를 피해 유조선 운항을 지속하고 있다[77]. 인도 선박 11척이 호르무즈를 통과했으나 13척은 여전히 걸프만에 머물고 있으며[79] 지난 24시간 동안 해협을 통과한 선박이 없는 상황도 발생했다[80]. 해운사들은 호르무즈 재개 협상과 위험 변화에 따라 입장이 급변하는 상황에 처해 있다[78][81][84].</w:t>
      </w:r>
    </w:p>
    <w:p>
      <w:r>
        <w:rPr>
          <w:b/>
        </w:rPr>
        <w:t>🇰🇷 국내 영향</w:t>
      </w:r>
    </w:p>
    <w:p>
      <w:r>
        <w:t>호르무즈 봉쇄 이후 첫 한국 유조선이 홍해를 경유해 원유 200만 배럴을 싣고 여수항에 도착했다[87][88][89][90][91][92][93][94][95]. 이 유조선은 호르무즈 대신 홍해 우회 항로를 이용해 원유를 운송한 첫 사례로 기록됐다[93]. 해운사들은 호르무즈 재개 불확실성 속에서 변화하는 상황에 대응하고 있다[86].</w:t>
      </w:r>
    </w:p>
    <w:p>
      <w:pPr>
        <w:pStyle w:val="Heading3"/>
      </w:pPr>
      <w:r>
        <w:t>항만혼잡  (HIGH 1 / MEDIUM 0)</w:t>
      </w:r>
    </w:p>
    <w:p>
      <w:r>
        <w:rPr>
          <w:b/>
        </w:rPr>
        <w:t>🇰🇷 국내 영향</w:t>
      </w:r>
    </w:p>
    <w:p>
      <w:r>
        <w:t>울산항만공사(UPA)는 호르무즈 해협에서 장기 대기 중인 선박에 선용품을 긴급 지원했다[96].</w:t>
      </w:r>
    </w:p>
    <w:p>
      <w:pPr>
        <w:pStyle w:val="Heading3"/>
      </w:pPr>
      <w:r>
        <w:t>기타 산업  (HIGH 7 / MEDIUM 35)</w:t>
      </w:r>
    </w:p>
    <w:p>
      <w:r>
        <w:rPr>
          <w:b/>
        </w:rPr>
        <w:t>🌐 해외 상황</w:t>
      </w:r>
    </w:p>
    <w:p>
      <w:r>
        <w:t>셸 CEO는 이란 전쟁으로 석유 시장에서 10억 배럴 부족이 발생했다고 밝혔다[97]. FAO 수장은 호르무즈 위기가 2026~2027년 농작물에 영향을 미칠 것이라고 경고했다[98]. LNG 공급 차질로 석탄 선적이 급증하고 있으며[99] 이란의 석유 생산이 40만 배럴/일 추가 감산됐다[105]. 중동 분쟁으로 비료 공급이 줄어든 가운데 캐나다 뉴트리엔은 칼륨·질소 판매 증가로 수익이 늘었으며[103] 미국 농가의 70%가 필요한 비료를 구매할 여력이 없다는 조사 결과가 나왔다[106].</w:t>
      </w:r>
    </w:p>
    <w:p>
      <w:r>
        <w:rPr>
          <w:b/>
        </w:rPr>
        <w:t>🇰🇷 국내 영향</w:t>
      </w:r>
    </w:p>
    <w:p>
      <w:r>
        <w:t>금융권이 나프타 수급 안정을 위해 뭉쳐 여천NCC 수입신용장 한도를 3억 달러로 확대했다[107]. 중동 나프타 공급 급감으로 아시아 플라스틱 업계가 공급 충격을 받고 있으며[108] 석유제품 매점매석 단속이 두 달 연장됐다[109]. 중동전쟁 여파로 조선업계의 원자재 수급에 차질이 발생해 정부가 현장 점검에 나섰으며[116] 제조 협력업체의 생산 차질 우려도 제기되고 있다[114]. EU의 러시아산 야말 LNG 수입이 금지 시행 전 역대 최대인 17.2% 급증했다[112].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2969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135</w:t>
            </w:r>
          </w:p>
        </w:tc>
        <w:tc>
          <w:tcPr>
            <w:tcW w:type="dxa" w:w="2946"/>
          </w:tcPr>
          <w:p>
            <w:r>
              <w:t>4.5%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342</w:t>
            </w:r>
          </w:p>
        </w:tc>
        <w:tc>
          <w:tcPr>
            <w:tcW w:type="dxa" w:w="2946"/>
          </w:tcPr>
          <w:p>
            <w:r>
              <w:t>11.5%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373</w:t>
            </w:r>
          </w:p>
        </w:tc>
        <w:tc>
          <w:tcPr>
            <w:tcW w:type="dxa" w:w="2946"/>
          </w:tcPr>
          <w:p>
            <w:r>
              <w:t>12.6%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2119</w:t>
            </w:r>
          </w:p>
        </w:tc>
        <w:tc>
          <w:tcPr>
            <w:tcW w:type="dxa" w:w="2946"/>
          </w:tcPr>
          <w:p>
            <w:r>
              <w:t>71.4%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