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해상 공급망 모니터링 일일 분석 — 2026-03-31</w:t>
      </w:r>
    </w:p>
    <w:p>
      <w:pPr>
        <w:jc w:val="center"/>
      </w:pPr>
      <w:r>
        <w:rPr>
          <w:color w:val="808080"/>
          <w:sz w:val="18"/>
        </w:rPr>
        <w:t>생성 모델: claude-sonnet-4-6  |  HIGH+MEDIUM 839건 (해외 335건 / 국내 504건)</w:t>
      </w:r>
    </w:p>
    <w:p/>
    <w:p>
      <w:pPr>
        <w:pStyle w:val="Heading2"/>
      </w:pPr>
      <w:r>
        <w:t>오늘의 핵심</w:t>
      </w:r>
    </w:p>
    <w:p>
      <w:r>
        <w:t>이란의 호르무즈 해협 봉쇄가 지속되는 가운데 이란이 두바이 인근 해상에서 쿠웨이트 유조선을 드론으로 공격하며 사태가 추가 격화되었고, 트럼프 대통령은 카르그섬 파괴 경고와 함께 이란 민간 인프라 폭격을 위협했다. WTI 유가가 100달러를 돌파하고 오만산 원유는 124달러까지 급등하며 유가 150~200달러 전망도 제기되는 상황에서, 한국 원·달러 환율은 17년 만에 1,530원을 돌파하고 코스피는 2008년 이후 최대 낙폭인 4% 이상 급락했다. 한국 정부는 비축유 스와프를 통해 대체 원유 2,000만 배럴 이상을 확보하고 26.2조 원 규모의 추경안을 제출하는 등 긴급 대응에 나섰으나, 성장률 2% 달성도 희박한 것으로 평가된다. 후티 반군의 이란 전쟁 참전 가능성과 러시아의 원유 공급 제한 선언까지 겹치며 글로벌 에너지·공급망 충격이 복합적으로 심화되고 있다.</w:t>
      </w:r>
    </w:p>
    <w:p/>
    <w:p>
      <w:pPr>
        <w:pStyle w:val="Heading2"/>
      </w:pPr>
      <w:r>
        <w:t>카테고리별 분석</w:t>
      </w:r>
    </w:p>
    <w:p>
      <w:pPr>
        <w:pStyle w:val="Heading3"/>
      </w:pPr>
      <w:r>
        <w:t>안보·군사  (HIGH 200 / MEDIUM 187)</w:t>
      </w:r>
    </w:p>
    <w:p>
      <w:r>
        <w:rPr>
          <w:b/>
        </w:rPr>
        <w:t>🌐 해외 상황</w:t>
      </w:r>
    </w:p>
    <w:p>
      <w:r>
        <w:t>트럼프 대통령은 EU 동맹국들에 호르무즈 해협 안보를 직접 책임지라고 압박하며 '자국 원유는 자국이 확보하라'는 입장을 밝혔고, 미국은 USS 조지 H.W. 부시 항모를 포함한 3번째 항모를 중동에 추가 파견하고 수천 명의 병력을 증파했다. 이란은 말레이시아 탱커에 대해 호르무즈 통행료를 면제하는 한편, 두바이 항 인근에서 쿠웨이트 유조선을 공격하며 봉쇄 압박 수위를 높였다. 미국 주유소 휘발유 가격이 갤런당 4달러를 돌파하는 등 에너지 공급 혼란이 현실화되었으며, 전문가들은 이번 위기가 일회성이 아닐 것이라고 경고했다.</w:t>
      </w:r>
    </w:p>
    <w:p>
      <w:r>
        <w:rPr>
          <w:b/>
        </w:rPr>
        <w:t>🇰🇷 국내 영향</w:t>
      </w:r>
    </w:p>
    <w:p>
      <w:r>
        <w:t>후티 반군의 이란 전쟁 참전 우려가 부상하면서 한국 공급망 충격에 대한 불안감이 심화되고 있다. 이재명 대표는 미국 의원들과 만나 중동 전쟁 여파에 대한 긴밀한 공조를 요청했으며, 원·달러 환율이 17년 만에 1,530원을 넘어서고 코스피가 5,100선 아래로 붕괴되는 등 금융시장 혼란이 가속화되고 있다. 이란전쟁 장기화 우려가 지속될 경우 한국 경제 전반에 걸친 중장기적 충격이 불가피할 것으로 보인다.</w:t>
      </w:r>
    </w:p>
    <w:p>
      <w:pPr>
        <w:pStyle w:val="Heading3"/>
      </w:pPr>
      <w:r>
        <w:t>해양안전  (HIGH 10 / MEDIUM 7)</w:t>
      </w:r>
    </w:p>
    <w:p>
      <w:r>
        <w:rPr>
          <w:b/>
        </w:rPr>
        <w:t>🌐 해외 상황</w:t>
      </w:r>
    </w:p>
    <w:p>
      <w:r>
        <w:t>이란이 두바이 항 인근에서 쿠웨이트 유조선을 드론 및 미사일로 공격해 화재가 발생했으며 기름 유출 위험 경보가 발령되었다. 쿠웨이트 정부는 해당 공격을 이란의 소행으로 공식 확인했고, 화재는 이후 진화된 것으로 보고되었다. 미국 해군 연료 보급함이 좌초 사고를 겪는 등 군사·민간 선박 모두 안전 위협에 노출된 상황이다.</w:t>
      </w:r>
    </w:p>
    <w:p>
      <w:r>
        <w:rPr>
          <w:b/>
        </w:rPr>
        <w:t>🇰🇷 국내 영향</w:t>
      </w:r>
    </w:p>
    <w:p>
      <w:r>
        <w:t>호르무즈 해협에서 한국 선원 8명이 하선한 것으로 보고되어 한국 선박·선원 안전 우려가 현실화되고 있다. 두바이 인근 유조선 피격 사건은 한국의 원유 수송 경로 안전성에 직접적 위협 요인으로, 중동 경유 물량 전반에 대한 위험도가 상승한 것으로 보인다.</w:t>
      </w:r>
    </w:p>
    <w:p>
      <w:pPr>
        <w:pStyle w:val="Heading3"/>
      </w:pPr>
      <w:r>
        <w:t>운임·물류비  (HIGH 8 / MEDIUM 13)</w:t>
      </w:r>
    </w:p>
    <w:p>
      <w:r>
        <w:rPr>
          <w:b/>
        </w:rPr>
        <w:t>🌐 해외 상황</w:t>
      </w:r>
    </w:p>
    <w:p>
      <w:r>
        <w:t>인도 LPG 탱커가 호르무즈 해협 대신 이례적 우회 항로로 탈출하는 사례가 보고되는 등 봉쇄 회피 움직임이 확인되었으며, 파나마 운하는 이란 전쟁 여파로 통행량이 증가하는 반사이익을 얻고 있다. 컨테이너 선박 스케줄 정시율은 2026년 2월 기준 59%로 하락했으며, 호르무즈 해협 통과 물동량은 소폭 증가하는 것으로 집계되어 봉쇄 상황이 부분적으로 유동적임을 시사한다. 러시아는 4월 1일부터 가솔린 수출을 금지했으며, 케냐 화훼 업체는 운임 10% 인상을 보고하는 등 글로벌 물류비 상승이 광범위하게 확산되고 있다.</w:t>
      </w:r>
    </w:p>
    <w:p>
      <w:r>
        <w:rPr>
          <w:b/>
        </w:rPr>
        <w:t>🇰🇷 국내 영향</w:t>
      </w:r>
    </w:p>
    <w:p>
      <w:r>
        <w:t>해운조합은 유가 폭등에 대응해 118억 원 긴급 지원책을 발표했으나 선사 자구 노력의 한계를 공식 인정했다. 아프리카 항로 물동량이 뚝 떨어지는 등 중동 사태 여파가 비(非)중동 항로에도 확산되고 있으며, 항공사들도 노선을 대폭 축소하고 5월 유류할증료 추가 인상 가능성이 제기되고 있다. 중국-유럽 철도 노선이 홍해 사태에 이어 또다시 반사이익을 거둘 가능성이 있는 것으로 보인다.</w:t>
      </w:r>
    </w:p>
    <w:p>
      <w:pPr>
        <w:pStyle w:val="Heading3"/>
      </w:pPr>
      <w:r>
        <w:t>항만·화물  (HIGH 30 / MEDIUM 7)</w:t>
      </w:r>
    </w:p>
    <w:p>
      <w:r>
        <w:rPr>
          <w:b/>
        </w:rPr>
        <w:t>🌐 해외 상황</w:t>
      </w:r>
    </w:p>
    <w:p>
      <w:r>
        <w:t>한국이 반도체 공급망 보호를 위해 러시아산 나프타로 대체 조달을 추진하고 있다는 보도가 나왔으며, 한국의 첫 비축유 스와프 프로그램이 발동되었다. 달리안 조선소는 한국 선주에게 30만 7,000톤급 초대형 원유운반선을 인도했다.</w:t>
      </w:r>
    </w:p>
    <w:p>
      <w:r>
        <w:rPr>
          <w:b/>
        </w:rPr>
        <w:t>🇰🇷 국내 영향</w:t>
      </w:r>
    </w:p>
    <w:p>
      <w:r>
        <w:t>정부는 비축유 스와프를 전격 시행해 대체 원유 2,000만 배럴 이상을 확보했으며, 정유사들은 미국산 원유 확보에 총력전을 벌이고 있다. 나프타 공급망 비상관리 체계가 가동되고 알뜰주유소 고가 운영에 대한 '원스트라이크 아웃' 제도가 도입되었다. 한국 정부는 남미·호주 등 대체 공급원 확보에도 나서는 한편, 서부발전 등 발전사들이 LNG 연료 수급 안정성을 현장 점검하는 등 에너지 공급 안정화에 주력하고 있다.</w:t>
      </w:r>
    </w:p>
    <w:p>
      <w:pPr>
        <w:pStyle w:val="Heading3"/>
      </w:pPr>
      <w:r>
        <w:t>경제·금융  (HIGH 29 / MEDIUM 257)</w:t>
      </w:r>
    </w:p>
    <w:p>
      <w:r>
        <w:rPr>
          <w:b/>
        </w:rPr>
        <w:t>🌐 해외 상황</w:t>
      </w:r>
    </w:p>
    <w:p>
      <w:r>
        <w:t>오만산 원유가 124달러까지 급등했으며 전문가들은 호르무즈 봉쇄 장기화 시 유가가 150~200달러에 달할 수 있다고 경고했다. 한국 증시는 2008년 이후 최대 낙폭을 기록했으며 원화는 17년 만에 최저치를 기록했다고 외신이 보도했다. 트럼프가 종전 가능성을 시사한 발언에 유가가 1% 하락하는 장면도 있었으나, 전반적 상승 기조는 지속되고 있다.</w:t>
      </w:r>
    </w:p>
    <w:p>
      <w:r>
        <w:rPr>
          <w:b/>
        </w:rPr>
        <w:t>🇰🇷 국내 영향</w:t>
      </w:r>
    </w:p>
    <w:p>
      <w:r>
        <w:t>원·달러 환율이 1,530원을 돌파하며 17년 만의 최고치를 기록했고, 코스피는 5,100선이 붕괴되며 4% 이상 폭락했다. 정부는 현금 지급 4.8조 원을 포함한 26.2조 원 규모의 추경안을 제출했으나, 전쟁 여파로 성장률 2% 달성도 희박하다는 평가가 나오고 있다. 외국인 주식 이탈이 역대급 수준으로 확대되고 있어 자본시장 불안이 심화되고 있다.</w:t>
      </w:r>
    </w:p>
    <w:p>
      <w:pPr>
        <w:pStyle w:val="Heading3"/>
      </w:pPr>
      <w:r>
        <w:t>수산물  (HIGH 1 / MEDIUM 8)</w:t>
      </w:r>
    </w:p>
    <w:p>
      <w:r>
        <w:rPr>
          <w:b/>
        </w:rPr>
        <w:t>🌐 해외 상황</w:t>
      </w:r>
    </w:p>
    <w:p>
      <w:r>
        <w:t>서아시아 분쟁으로 인도의 신선 화물 최대 15억 달러 규모가 피해를 입은 것으로 추정되며, 필리핀에서도 고유가에 따른 부활절 성수기 생선 가격 상승 경고가 나왔다.</w:t>
      </w:r>
    </w:p>
    <w:p>
      <w:r>
        <w:rPr>
          <w:b/>
        </w:rPr>
        <w:t>🇰🇷 국내 영향</w:t>
      </w:r>
    </w:p>
    <w:p>
      <w:r>
        <w:t>어업용 면세유 가격이 60% 급등하면서 어선 출어가 사실상 중단되는 사태가 발생하고 있으며, 봄 조업 시즌임에도 꽃게 등 어획이 저조한 상황이다. 해수부는 긴급 대책 논의에 나섰고, 강원도 등 지방자치단체도 유류비 추가 지원을 검토 중이다. 농식품부는 추경에 2,658억 원을 편성해 면세유·비료 지원에 나섰다.</w:t>
      </w:r>
    </w:p>
    <w:p>
      <w:pPr>
        <w:pStyle w:val="Heading3"/>
      </w:pPr>
      <w:r>
        <w:t>해운  (HIGH 0 / MEDIUM 6)</w:t>
      </w:r>
    </w:p>
    <w:p>
      <w:r>
        <w:rPr>
          <w:b/>
        </w:rPr>
        <w:t>🌐 해외 상황</w:t>
      </w:r>
    </w:p>
    <w:p>
      <w:r>
        <w:t>NYK, 치요다, KNCC가 글로벌 CCS 가치사슬 구축을 위한 협력을 추진 중인 것으로 보이나, 이는 현 위기와 직접적 관련은 낮다.</w:t>
      </w:r>
    </w:p>
    <w:p>
      <w:r>
        <w:rPr>
          <w:b/>
        </w:rPr>
        <w:t>🇰🇷 국내 영향</w:t>
      </w:r>
    </w:p>
    <w:p>
      <w:r>
        <w:t>HMM은 본사 이전 논란이 확산되는 가운데 5월 8일 임시주총을 앞두고 노조 총파업 위협에 직면해 있다. HD한국조선해양은 20억 달러 규모의 교환사채 발행을 계획하고 있으며, HD현대는 배당과 자금 조달을 병행하며 미래 투자를 가속화하고 있다. 호르무즈 봉쇄 위기 속에서도 국내 해운선사 파업 움직임이 병존하고 있어 내부 리스크도 관리 대상으로 보인다.</w:t>
      </w:r>
    </w:p>
    <w:p>
      <w:pPr>
        <w:pStyle w:val="Heading3"/>
      </w:pPr>
      <w:r>
        <w:t>물류  (HIGH 0 / MEDIUM 2)</w:t>
      </w:r>
    </w:p>
    <w:p>
      <w:r>
        <w:rPr>
          <w:b/>
        </w:rPr>
        <w:t>🌐 해외 상황</w:t>
      </w:r>
    </w:p>
    <w:p>
      <w:r>
        <w:t>KLN 로지스틱스가 미-이란 전쟁과 유동적인 미국 관세 상황으로 불확실성에 직면해 있다.</w:t>
      </w:r>
    </w:p>
    <w:p>
      <w:r>
        <w:rPr>
          <w:b/>
        </w:rPr>
        <w:t>🇰🇷 국내 영향</w:t>
      </w:r>
    </w:p>
    <w:p>
      <w:r>
        <w:t>중소 조선업계는 수주 증가로 물이 들어오는 시기이나 RG(환급보증) 금융 병목이 해소되지 않아 수혜를 충분히 누리지 못하고 있다는 우려가 제기되었다.</w:t>
      </w:r>
    </w:p>
    <w:p>
      <w:pPr>
        <w:pStyle w:val="Heading3"/>
      </w:pPr>
      <w:r>
        <w:t>항만혼잡  (HIGH 0 / MEDIUM 1)</w:t>
      </w:r>
    </w:p>
    <w:p>
      <w:r>
        <w:rPr>
          <w:b/>
        </w:rPr>
        <w:t>🌐 해외 상황</w:t>
      </w:r>
    </w:p>
    <w:p>
      <w:r>
        <w:t>파나마 운하 당국이 전략적 이니셔티브를 위한 사전자격심사 문서 개정안을 발표했다.</w:t>
      </w:r>
    </w:p>
    <w:p>
      <w:r>
        <w:rPr>
          <w:b/>
        </w:rPr>
        <w:t>🇰🇷 국내 영향</w:t>
      </w:r>
    </w:p>
    <w:p>
      <w:r>
        <w:t>파나마 운하 통행량이 이란 전쟁 여파로 증가하고 있어, 한국발 우회 물량 집중에 따른 혼잡 가능성이 있는 것으로 보인다.</w:t>
      </w:r>
    </w:p>
    <w:p>
      <w:pPr>
        <w:pStyle w:val="Heading3"/>
      </w:pPr>
      <w:r>
        <w:t>기타 산업  (HIGH 18 / MEDIUM 51)</w:t>
      </w:r>
    </w:p>
    <w:p>
      <w:r>
        <w:rPr>
          <w:b/>
        </w:rPr>
        <w:t>🌐 해외 상황</w:t>
      </w:r>
    </w:p>
    <w:p>
      <w:r>
        <w:t>중동 전쟁으로 LNG 가격이 3년 만에 최고치로 치솟자 아시아 지역의 석탄 수요가 증가하고 있으며, OPEC 3월 산유량은 전쟁 여파로 수출 감소와 함께 급감했다. 동남아시아는 이란 전쟁에 따른 비료 공급 부족 위기에 직면했으며, 한국 대한항공은 유가 급등에 따른 비상 운영 체제로 4월 전환을 결정했다.</w:t>
      </w:r>
    </w:p>
    <w:p>
      <w:r>
        <w:rPr>
          <w:b/>
        </w:rPr>
        <w:t>🇰🇷 국내 영향</w:t>
      </w:r>
    </w:p>
    <w:p>
      <w:r>
        <w:t>WTI 유가가 4년 만에 100달러를 돌파했으며, 나프타 쇼크로 석유화학 산업과 건설업(레미콘)이 동시에 충격을 받고 있다. 4월 LPG 수입 가격이 사상 초유의 대폭등을 기록했으며, 알루미늄 국제 가격도 이란 발 공급망 충격으로 급등하고 있다. 농식품부가 비료 지원을 위한 추경을 편성하는 등 농업 부문 연쇄 충격도 가시화되고 있다.</w:t>
      </w:r>
    </w:p>
    <w:p>
      <w:r>
        <w:br w:type="page"/>
      </w:r>
    </w:p>
    <w:p>
      <w:pPr>
        <w:pStyle w:val="Heading2"/>
      </w:pPr>
      <w:r>
        <w:t>통계 요약</w:t>
      </w:r>
    </w:p>
    <w:tbl>
      <w:tblPr>
        <w:tblStyle w:val="TableGrid"/>
        <w:tblW w:type="auto" w:w="0"/>
        <w:tblLook w:firstColumn="1" w:firstRow="1" w:lastColumn="0" w:lastRow="0" w:noHBand="0" w:noVBand="1" w:val="04A0"/>
      </w:tblPr>
      <w:tblGrid>
        <w:gridCol w:w="2946"/>
        <w:gridCol w:w="2946"/>
        <w:gridCol w:w="2946"/>
      </w:tblGrid>
      <w:tr>
        <w:tc>
          <w:tcPr>
            <w:tcW w:type="dxa" w:w="2946"/>
          </w:tcPr>
          <w:p>
            <w:r>
              <w:rPr>
                <w:b/>
              </w:rPr>
              <w:t>구분</w:t>
            </w:r>
          </w:p>
        </w:tc>
        <w:tc>
          <w:tcPr>
            <w:tcW w:type="dxa" w:w="2946"/>
          </w:tcPr>
          <w:p>
            <w:r>
              <w:rPr>
                <w:b/>
              </w:rPr>
              <w:t>건수</w:t>
            </w:r>
          </w:p>
        </w:tc>
        <w:tc>
          <w:tcPr>
            <w:tcW w:type="dxa" w:w="2946"/>
          </w:tcPr>
          <w:p>
            <w:r>
              <w:rPr>
                <w:b/>
              </w:rPr>
              <w:t>비중</w:t>
            </w:r>
          </w:p>
        </w:tc>
      </w:tr>
      <w:tr>
        <w:tc>
          <w:tcPr>
            <w:tcW w:type="dxa" w:w="2946"/>
          </w:tcPr>
          <w:p>
            <w:r>
              <w:t>총 수집</w:t>
            </w:r>
          </w:p>
        </w:tc>
        <w:tc>
          <w:tcPr>
            <w:tcW w:type="dxa" w:w="2946"/>
          </w:tcPr>
          <w:p>
            <w:r>
              <w:t>2981</w:t>
            </w:r>
          </w:p>
        </w:tc>
        <w:tc>
          <w:tcPr>
            <w:tcW w:type="dxa" w:w="2946"/>
          </w:tcPr>
          <w:p>
            <w:r>
              <w:t>100.0%</w:t>
            </w:r>
          </w:p>
        </w:tc>
      </w:tr>
      <w:tr>
        <w:tc>
          <w:tcPr>
            <w:tcW w:type="dxa" w:w="2946"/>
          </w:tcPr>
          <w:p>
            <w:r>
              <w:t>HIGH</w:t>
            </w:r>
          </w:p>
        </w:tc>
        <w:tc>
          <w:tcPr>
            <w:tcW w:type="dxa" w:w="2946"/>
          </w:tcPr>
          <w:p>
            <w:r>
              <w:t>296</w:t>
            </w:r>
          </w:p>
        </w:tc>
        <w:tc>
          <w:tcPr>
            <w:tcW w:type="dxa" w:w="2946"/>
          </w:tcPr>
          <w:p>
            <w:r>
              <w:t>9.9%</w:t>
            </w:r>
          </w:p>
        </w:tc>
      </w:tr>
      <w:tr>
        <w:tc>
          <w:tcPr>
            <w:tcW w:type="dxa" w:w="2946"/>
          </w:tcPr>
          <w:p>
            <w:r>
              <w:t>MEDIUM</w:t>
            </w:r>
          </w:p>
        </w:tc>
        <w:tc>
          <w:tcPr>
            <w:tcW w:type="dxa" w:w="2946"/>
          </w:tcPr>
          <w:p>
            <w:r>
              <w:t>543</w:t>
            </w:r>
          </w:p>
        </w:tc>
        <w:tc>
          <w:tcPr>
            <w:tcW w:type="dxa" w:w="2946"/>
          </w:tcPr>
          <w:p>
            <w:r>
              <w:t>18.2%</w:t>
            </w:r>
          </w:p>
        </w:tc>
      </w:tr>
      <w:tr>
        <w:tc>
          <w:tcPr>
            <w:tcW w:type="dxa" w:w="2946"/>
          </w:tcPr>
          <w:p>
            <w:r>
              <w:t>LOW</w:t>
            </w:r>
          </w:p>
        </w:tc>
        <w:tc>
          <w:tcPr>
            <w:tcW w:type="dxa" w:w="2946"/>
          </w:tcPr>
          <w:p>
            <w:r>
              <w:t>676</w:t>
            </w:r>
          </w:p>
        </w:tc>
        <w:tc>
          <w:tcPr>
            <w:tcW w:type="dxa" w:w="2946"/>
          </w:tcPr>
          <w:p>
            <w:r>
              <w:t>22.7%</w:t>
            </w:r>
          </w:p>
        </w:tc>
      </w:tr>
      <w:tr>
        <w:tc>
          <w:tcPr>
            <w:tcW w:type="dxa" w:w="2946"/>
          </w:tcPr>
          <w:p>
            <w:r>
              <w:t>NONE</w:t>
            </w:r>
          </w:p>
        </w:tc>
        <w:tc>
          <w:tcPr>
            <w:tcW w:type="dxa" w:w="2946"/>
          </w:tcPr>
          <w:p>
            <w:r>
              <w:t>1466</w:t>
            </w:r>
          </w:p>
        </w:tc>
        <w:tc>
          <w:tcPr>
            <w:tcW w:type="dxa" w:w="2946"/>
          </w:tcPr>
          <w:p>
            <w:r>
              <w:t>49.2%</w:t>
            </w:r>
          </w:p>
        </w:tc>
      </w:tr>
    </w:tbl>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