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2026-07-21</w:t>
      </w:r>
    </w:p>
    <w:p>
      <w:pPr>
        <w:jc w:val="center"/>
      </w:pPr>
      <w:r>
        <w:rPr>
          <w:color w:val="808080"/>
          <w:sz w:val="18"/>
        </w:rPr>
        <w:t>생성 모델: claude-sonnet-4-6  |  HIGH+MEDIUM 388건 (해외 214건 / 국내 174건)</w:t>
      </w:r>
    </w:p>
    <w:p/>
    <w:p>
      <w:pPr>
        <w:pStyle w:val="Heading2"/>
      </w:pPr>
      <w:r>
        <w:t>오늘의 핵심</w:t>
      </w:r>
    </w:p>
    <w:p>
      <w:r>
        <w:t>후티 반군이 사우디아라비아 모든 항구를 이용하는 선박을 '어디서든 표적'으로 삼겠다고 경고하면서[12][14][16], 호르무즈 해협에 이어 홍해·바브엘만데브까지 동시 봉쇄 위기가 현실화되고 있다[35][63]. 후티 경고 하루 만에 사우디 원유 유조선 2척이 홍해에서 유턴하는 사태가 발생했으며[33][34][74], 호르무즈 해협 선박 통과 횟수는 미국-이란 공격 격화로 66% 급감한 것으로 보고됐다[26][28]. 골드만삭스는 호르무즈 교란이 지속될 경우 브렌트유가 배럴당 120달러를 돌파할 수 있다고 경고했으며[51][54][57], 현재 유가는 배럴당 88~93달러 수준에서 등락하고 있다[55][59][60]. 한국 정부는 7~8월 원유를 전년 대비 110% 이상 확보했다고 밝혔으나[47], 사우디산 원유 의존도가 높은 상황에서 홍해 봉쇄 시 운송이 한 달 지연될 수 있다는 우려가 제기됐다[45][46].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123 / MEDIUM 81)</w:t>
      </w:r>
    </w:p>
    <w:p>
      <w:r>
        <w:rPr>
          <w:b/>
        </w:rPr>
        <w:t>🌐 해외 상황</w:t>
      </w:r>
    </w:p>
    <w:p>
      <w:r>
        <w:t>후티 반군은 사우디아라비아 항구를 이용하는 선박을 어디서든 표적으로 삼겠다고 경고하며 사우디 모든 항만에서의 선박 화물 선적·하역을 금지한다고 선언했다[1][2][16]. 트럼프 대통령은 후티가 사우디 항구를 봉쇄할 경우 '직접 처리하겠다'고 경고했으며[5][6], 미국의 이란 공격이 지속되는 가운데 유가가 급등했다[3]. IEA는 중동 긴장 고조로 에너지 안보 위험이 상승하고 있다고 경고했고[7][9], UKMTO는 호르무즈 해협 인근에서 상선에 대한 공격이 발생했다고 보고했다[8]. 바브엘만데브 해협이 새로운 초크포인트 전쟁의 무대로 부상하고 있다는 분석도 제기됐다[10].</w:t>
      </w:r>
    </w:p>
    <w:p>
      <w:r>
        <w:rPr>
          <w:b/>
        </w:rPr>
        <w:t>🇰🇷 국내 영향</w:t>
      </w:r>
    </w:p>
    <w:p>
      <w:r>
        <w:t>후티 반군의 사우디 항구 봉쇄 경고로 호르무즈에 이어 홍해까지 막히면서 한국 등 아시아 국가들이 직격탄을 맞을 수 있다는 우려가 제기됐다[20]. 이란의 공격으로 유조선 선원들이 탈출하는 사태가 발생했으며 쿠웨이트 전국에 공습 경보가 울렸다[17]. 국내 언론은 원유 재고 사상 최저 수준과 홍해 봉쇄가 맞물려 '3고(고유가·고물가·고금리)' 위기가 재연될 수 있다고 보도했다[13]. 북한과 러시아가 군사 동맹 조약을 심화하는 신호를 보내는 등 한반도 주변 안보 환경도 복합적으로 악화되고 있다[11].</w:t>
      </w:r>
    </w:p>
    <w:p>
      <w:pPr>
        <w:pStyle w:val="Heading3"/>
      </w:pPr>
      <w:r>
        <w:t>해양안전  (HIGH 0 / MEDIUM 2)</w:t>
      </w:r>
    </w:p>
    <w:p>
      <w:r>
        <w:rPr>
          <w:b/>
        </w:rPr>
        <w:t>🌐 해외 상황</w:t>
      </w:r>
    </w:p>
    <w:p>
      <w:r>
        <w:t>루마니아 인근 해역에서 LPG 선박 '리스본'이 피격되는 사건이 발생했다[21]. 미국과 이란의 교전 과정에서 인도 선원들이 지속적으로 사망하고 있으며, 인도 정부가 대응 수위를 높이고 있다[22].</w:t>
      </w:r>
    </w:p>
    <w:p>
      <w:pPr>
        <w:pStyle w:val="Heading3"/>
      </w:pPr>
      <w:r>
        <w:t>운임·물류비  (HIGH 16 / MEDIUM 4)</w:t>
      </w:r>
    </w:p>
    <w:p>
      <w:r>
        <w:rPr>
          <w:b/>
        </w:rPr>
        <w:t>🌐 해외 상황</w:t>
      </w:r>
    </w:p>
    <w:p>
      <w:r>
        <w:t>호르무즈 해협 선박 통과 횟수가 미국-이란 공격 격화로 66% 급감했으며, 그리스 선주들이 표적이 되고 있다는 보고가 나왔다[26][28][30]. 후티 봉쇄로 사우디 원유 유조선 2척이 수에즈 운하를 통한 우회 항로로 전환했으며[23], 홍해 전쟁 보험료가 후티 봉쇄 이후 상승하고 있다[27]. 호르무즈 통행료(Hormuz Tolls) 부과 논의가 전쟁 지속과 함께 주목받고 있으며[25], 미국 ATA 트럭 톤수 지수는 6월 기준 0.1% 상승에 그쳤다[31]. 홍해 봉쇄 이전 사우디 원유의 홍해 경유 물량이 기록적 수준에 달했던 것으로 나타났다[32].</w:t>
      </w:r>
    </w:p>
    <w:p>
      <w:r>
        <w:rPr>
          <w:b/>
        </w:rPr>
        <w:t>🇰🇷 국내 영향</w:t>
      </w:r>
    </w:p>
    <w:p>
      <w:r>
        <w:t>호르무즈에 이어 홍해까지 봉쇄 위기가 겹치면서 한국 원유 수입 항로가 이중으로 위협받고 있다[35][36]. 홍해를 통해 연간 470만 톤을 운송하는 한국 업계와 정부가 촉각을 곤두세우고 있으며[37], 홍해는 세계 원유의 7%가 통과하는 요충지다[38]. 호르무즈 항로를 운항하는 선원들에게 6개월치 보너스를 제공하는 파격적 위험 수당을 제시하는 선사들이 등장했다[39][40]. 하나투어·모두투어는 8월 유류할증료를 인하한다고 밝혔다[41].</w:t>
      </w:r>
    </w:p>
    <w:p>
      <w:pPr>
        <w:pStyle w:val="Heading3"/>
      </w:pPr>
      <w:r>
        <w:t>항만·화물  (HIGH 4 / MEDIUM 5)</w:t>
      </w:r>
    </w:p>
    <w:p>
      <w:r>
        <w:rPr>
          <w:b/>
        </w:rPr>
        <w:t>🌐 해외 상황</w:t>
      </w:r>
    </w:p>
    <w:p>
      <w:r>
        <w:t>한국 정부는 원유 공급이 불확실성에도 불구하고 안정적이라고 밝혔다[42]. 인도 국영 석유회사 IOC는 호르무즈 공격을 이유로 이라크산 원유 선적을 취소했으며[43], 이라크 원유 생산은 반등하고 있으나 수출 차질은 지속되고 있다[44].</w:t>
      </w:r>
    </w:p>
    <w:p>
      <w:r>
        <w:rPr>
          <w:b/>
        </w:rPr>
        <w:t>🇰🇷 국내 영향</w:t>
      </w:r>
    </w:p>
    <w:p>
      <w:r>
        <w:t>한국의 원유 수입 1위국인 사우디아라비아에서 홍해가 봉쇄될 경우 운송이 한 달 지연될 수 있다[45]. 이란전 이후 사우디산 원유 의존도가 더욱 높아진 상황에서 후티의 위협이 한국 에너지 공급망에 직접적 취약점이 되고 있다[46]. 정부는 7~8월 원유를 전년 대비 110% 이상 확보했다고 밝혔다[47]. 광양항은 자동차 수출 증가로 100만 대 회복을 기대하고 있으며[48], 여수산단 탱크 터미널에서 환적유를 혼합 수출하는 방안이 가능해졌다[49]. 정부는 부산·광양 등 주요 항만에 21조 원을 투자해 미래에너지 물류거점으로 육성할 계획이다[50].</w:t>
      </w:r>
    </w:p>
    <w:p>
      <w:pPr>
        <w:pStyle w:val="Heading3"/>
      </w:pPr>
      <w:r>
        <w:t>경제·금융  (HIGH 15 / MEDIUM 105)</w:t>
      </w:r>
    </w:p>
    <w:p>
      <w:r>
        <w:rPr>
          <w:b/>
        </w:rPr>
        <w:t>🌐 해외 상황</w:t>
      </w:r>
    </w:p>
    <w:p>
      <w:r>
        <w:t>골드만삭스는 호르무즈 교란이 지속될 경우 브렌트유가 배럴당 120달러를 돌파할 수 있다고 경고했다[51][54][57]. 현재 유가는 미국-이란 공격 재개로 배럴당 90달러를 돌파했다가[53], 이란 휴전 기대감으로 88달러 수준으로 소폭 하락하는 등 등락을 반복하고 있다[59][60]. 아제르바이잔산 아제리 라이트 원유는 배럴당 93.91달러를 기록했으며[55], 이란 전쟁으로 현금 부족에 시달리는 아시아 국가들이 비싼 LNG를 구매해야 하는 상황에 처했다[58].</w:t>
      </w:r>
    </w:p>
    <w:p>
      <w:r>
        <w:rPr>
          <w:b/>
        </w:rPr>
        <w:t>🇰🇷 국내 영향</w:t>
      </w:r>
    </w:p>
    <w:p>
      <w:r>
        <w:t>홍해 리스크 확대로 국내 기름값 불안이 고조되면서 정부가 석유 최고가격제 재상향 가능성을 시사했다[61][62][64]. 이 대통령은 최고가격제를 더욱 강화하겠다고 밝혔으며[62], 정부는 중동 리스크를 이유로 최고가격제 강화를 검토 중이다[65]. 미국 증시는 이란 외교 기대감에 상승했으나 유가와 국채금리는 부담 요인으로 작용하고 있다[67]. 달러화는 트럼프의 대체 관세 임박과 후티 위협으로 강보합세를 보였으며[68], 중동 긴장 고조로 유럽 가스 가격이 4개월 만에 최고치를 기록하며 겨울 공급난 우려가 제기됐다[69][70].</w:t>
      </w:r>
    </w:p>
    <w:p>
      <w:pPr>
        <w:pStyle w:val="Heading3"/>
      </w:pPr>
      <w:r>
        <w:t>수산물  (HIGH 0 / MEDIUM 3)</w:t>
      </w:r>
    </w:p>
    <w:p>
      <w:r>
        <w:rPr>
          <w:b/>
        </w:rPr>
        <w:t>🇰🇷 국내 영향</w:t>
      </w:r>
    </w:p>
    <w:p>
      <w:r>
        <w:t>부산 기업이 국내 최초로 GDST(글로벌 수산물 이력 추적) 국제 인증을 획득하며 국제수산물 허브 구축에 속도를 내고 있다[71][72]. 목포의 김 수출액이 반년 만에 1억 1076만 달러를 기록하며 전국 최고 수준을 달성했다[73].</w:t>
      </w:r>
    </w:p>
    <w:p>
      <w:pPr>
        <w:pStyle w:val="Heading3"/>
      </w:pPr>
      <w:r>
        <w:t>해운  (HIGH 2 / MEDIUM 6)</w:t>
      </w:r>
    </w:p>
    <w:p>
      <w:r>
        <w:rPr>
          <w:b/>
        </w:rPr>
        <w:t>🌐 해외 상황</w:t>
      </w:r>
    </w:p>
    <w:p>
      <w:r>
        <w:t>후티의 홍해 봉쇄 위협으로 중국·인도행 사우디 원유 유조선들이 유턴하는 사태가 발생했다[74]. 발트해 항구들이 비어가는 반면 러시아 항구들은 제재 속에서도 성장하고 있다는 분석이 나왔다[75].</w:t>
      </w:r>
    </w:p>
    <w:p>
      <w:r>
        <w:rPr>
          <w:b/>
        </w:rPr>
        <w:t>🇰🇷 국내 영향</w:t>
      </w:r>
    </w:p>
    <w:p>
      <w:r>
        <w:t>호르무즈 위기로 해운업 내 희비가 엇갈리고 있으며, 유조선은 수익이 급등하는 반면 컨테이너·벌크선은 부진한 양상이다[76]. 한국 유조선의 고립 가능성은 낮다는 분석이 나왔다[77]. 북극항로 시범운항이 임박한 가운데 영일만항의 '부산 보조항' 육성론이 제기됐으며[78], 울산항은 최근 10년간 북극항로 선박 기항 횟수에서 전국 1위를 기록했다[79][80]. 팬오션은 탱커 사업 확대로 이익 구조 다변화가 기대된다는 증권가 분석이 나왔다[81].</w:t>
      </w:r>
    </w:p>
    <w:p>
      <w:pPr>
        <w:pStyle w:val="Heading3"/>
      </w:pPr>
      <w:r>
        <w:t>기타 산업  (HIGH 1 / MEDIUM 15)</w:t>
      </w:r>
    </w:p>
    <w:p>
      <w:r>
        <w:rPr>
          <w:b/>
        </w:rPr>
        <w:t>🌐 해외 상황</w:t>
      </w:r>
    </w:p>
    <w:p>
      <w:r>
        <w:t>인도에서 비료 운반 선박들이 항구에 발이 묶이면서 카리프 파종 성수기 공급 차질 우려가 제기됐다[83]. 엘니뇨가 2027년까지 식품 비용과 공급망을 재편할 수 있다는 분석이 나왔으며[84][87], 카자흐스탄 원유도 전쟁 여파에 노출될 수 있다는 우려가 제기됐다[88]. UAE 아드녹은 움샤이프 가스전 개발에 62억 달러 규모의 최종투자결정(FID)을 내렸다[89]. 호르무즈 너머 정제 능력과 제품 시장 취약성이 새로운 위험 요소로 부각되고 있으며[85], 정유소 공격이 현지 가스 가격을 악화시키고 있다[86].</w:t>
      </w:r>
    </w:p>
    <w:p>
      <w:r>
        <w:rPr>
          <w:b/>
        </w:rPr>
        <w:t>🇰🇷 국내 영향</w:t>
      </w:r>
    </w:p>
    <w:p>
      <w:r>
        <w:t>비축유가 바닥난 상황에서 원유 우회로마저 막히면서 최악의 오일쇼크 가능성이 제기됐다[90]. 시멘트 업계는 중동 긴장 고조로 제조원가 상승 부담이 커지면서 에너지원 다변화를 추진하고 있다[91][92]. 정제마진이 가파르게 상승하면서 국내 정유사의 수익 개선 기대감이 높아지고 있으며[93], 원유보다 정제 부문의 공급망 불안이 더 심각하다는 분석도 나왔다[94]. 경사노위는 석유화학 산업 위기 대응 위원회를 발족했으며[95], 중국의 희귀광물 무기화로 한국 방산 수출 납기와 가격 경쟁력이 위협받고 있다[97].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2668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161</w:t>
            </w:r>
          </w:p>
        </w:tc>
        <w:tc>
          <w:tcPr>
            <w:tcW w:type="dxa" w:w="2946"/>
          </w:tcPr>
          <w:p>
            <w:r>
              <w:t>6.0%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227</w:t>
            </w:r>
          </w:p>
        </w:tc>
        <w:tc>
          <w:tcPr>
            <w:tcW w:type="dxa" w:w="2946"/>
          </w:tcPr>
          <w:p>
            <w:r>
              <w:t>8.5%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340</w:t>
            </w:r>
          </w:p>
        </w:tc>
        <w:tc>
          <w:tcPr>
            <w:tcW w:type="dxa" w:w="2946"/>
          </w:tcPr>
          <w:p>
            <w:r>
              <w:t>12.7%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1940</w:t>
            </w:r>
          </w:p>
        </w:tc>
        <w:tc>
          <w:tcPr>
            <w:tcW w:type="dxa" w:w="2946"/>
          </w:tcPr>
          <w:p>
            <w:r>
              <w:t>72.7%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