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2026-09-20</w:t>
      </w:r>
    </w:p>
    <w:p>
      <w:pPr>
        <w:jc w:val="center"/>
      </w:pPr>
      <w:r>
        <w:rPr>
          <w:color w:val="808080"/>
          <w:sz w:val="18"/>
        </w:rPr>
        <w:t>생성 모델: claude-sonnet-4-6  |  HIGH+MEDIUM 360건 (해외 251건 / 국내 109건)</w:t>
      </w:r>
    </w:p>
    <w:p/>
    <w:p>
      <w:pPr>
        <w:pStyle w:val="Heading2"/>
      </w:pPr>
      <w:r>
        <w:t>오늘의 핵심</w:t>
      </w:r>
    </w:p>
    <w:p>
      <w:r>
        <w:t>이란 협상단장은 미국이 종전 조건을 이행하지 않으면 호르무즈 해협 봉쇄를 계속 유지하겠다고 공식 선언했으며[11][12][15], 미국 CENTCOM은 '철통 봉쇄' 작전을 통해 이란에 대해 통과 물량 제로를 유지하면서 10억 배럴을 통과시켰다고 밝혔다[9]. 후티 반군은 사우디아라비아 수도 리야드를 탄도미사일과 드론으로 공격해 석유 탱크 화재와 항공편 결항이 발생했으며[17], 미국은 급격한 긴장 고조에 대해 경고를 발령했다[1][3]. 호르무즈 해협을 통한 원유·LNG 선적량은 6개월 만에 최고치를 기록했다고 미 사령관이 밝혔으나[29][30], 해상 컨테이너 운임은 코로나 시기 최고치에 근접하는 수준으로 폭등했고[24], 중국발 운임은 6개월 만에 두 배로 상승했다[27]. 미국 디젤 가격은 갤런당 6.49달러로 사상 최고치를 기록했으며[36][39], 국내에서는 정부가 물가 비상 상황에서 기름값을 4주 추가 동결하기로 했다[55].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41건</w:t>
            </w:r>
          </w:p>
        </w:tc>
        <w:tc>
          <w:tcPr>
            <w:tcW w:type="dxa" w:w="2209"/>
          </w:tcPr>
          <w:p>
            <w:r>
              <w:t>▼20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38건</w:t>
            </w:r>
          </w:p>
        </w:tc>
        <w:tc>
          <w:tcPr>
            <w:tcW w:type="dxa" w:w="2209"/>
          </w:tcPr>
          <w:p>
            <w:r>
              <w:t>▼11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37건</w:t>
            </w:r>
          </w:p>
        </w:tc>
        <w:tc>
          <w:tcPr>
            <w:tcW w:type="dxa" w:w="2209"/>
          </w:tcPr>
          <w:p>
            <w:r>
              <w:t>▲35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35건</w:t>
            </w:r>
          </w:p>
        </w:tc>
        <w:tc>
          <w:tcPr>
            <w:tcW w:type="dxa" w:w="2209"/>
          </w:tcPr>
          <w:p>
            <w:r>
              <w:t>▼10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4건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석탄</w:t>
            </w:r>
          </w:p>
        </w:tc>
        <w:tc>
          <w:tcPr>
            <w:tcW w:type="dxa" w:w="2209"/>
          </w:tcPr>
          <w:p>
            <w:r>
              <w:t>3건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희토류</w:t>
            </w:r>
          </w:p>
        </w:tc>
        <w:tc>
          <w:tcPr>
            <w:tcW w:type="dxa" w:w="2209"/>
          </w:tcPr>
          <w:p>
            <w:r>
              <w:t>3건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철광석</w:t>
            </w:r>
          </w:p>
        </w:tc>
        <w:tc>
          <w:tcPr>
            <w:tcW w:type="dxa" w:w="2209"/>
          </w:tcPr>
          <w:p>
            <w:r>
              <w:t>3건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밀</w:t>
            </w:r>
          </w:p>
        </w:tc>
        <w:tc>
          <w:tcPr>
            <w:tcW w:type="dxa" w:w="2209"/>
          </w:tcPr>
          <w:p>
            <w:r>
              <w:t>2건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772건, 최근 8주 같은 기간(월~일) 중앙값 75건의 10.3배.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88 / MEDIUM 157)</w:t>
      </w:r>
    </w:p>
    <w:p>
      <w:r>
        <w:rPr>
          <w:b/>
        </w:rPr>
        <w:t>🌐 해외 상황</w:t>
      </w:r>
    </w:p>
    <w:p>
      <w:r>
        <w:t>이란 협상단장은 미국이 종전 조건을 이행하지 않으면 호르무즈 해협 봉쇄를 계속 유지하겠다고 밝혔으며[2][8], 이란과 미국은 후티 공격 확대를 둘러싸고 상호 위협을 주고받고 있다[7]. 후티 반군은 사우디아라비아 수도 리야드를 탄도미사일과 드론으로 공격했으며, 사우디는 이를 공식 확인했다[10]; 이 공격으로 석유 탱크 화재와 항공편 결항이 발생했다[17]. 미국은 리야드 공격 이후 급격한 긴장 고조 가능성에 대해 경고를 발령했고[1][3], 예멘-사우디 간 긴장이 300회 공습 이후 미사일·드론 공격으로 고조되고 있다[5]. 미국 CENTCOM은 '철통 봉쇄' 작전을 통해 이란에 대해 통과 물량 제로를 유지하면서 10억 배럴을 통과시켰다고 밝혔다[9].</w:t>
      </w:r>
    </w:p>
    <w:p>
      <w:r>
        <w:rPr>
          <w:b/>
        </w:rPr>
        <w:t>🇰🇷 국내 영향</w:t>
      </w:r>
    </w:p>
    <w:p>
      <w:r>
        <w:t>이란 협상단장이 조건 미이행 시 호르무즈 해협 봉쇄를 계속 유지하겠다고 밝히면서[11][12][14][18][19][20], 봉쇄 장기화 가능성이 높아지고 있다. 이란이 미국에 재개방 조건을 전달하면서 외교적 협상 채널이 열릴 가능성도 제기되고 있으나[13], 조건 이행 여부는 불확실한 상황이다. 후티 반군의 사우디 리야드 공격으로 분쟁이 호르무즈를 넘어 사우디로 확산되는 양상이며, 물밑에서는 종전 협상이 진행 중인 것으로 보인다[16].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미국 SOUTHCOM은 카리브해에서 마약 밀수 의심 선박에 대한 군사 타격을 실시해 4명이 사망했다고 밝혔다[21][22][23].</w:t>
      </w:r>
    </w:p>
    <w:p>
      <w:pPr>
        <w:pStyle w:val="Heading3"/>
      </w:pPr>
      <w:r>
        <w:t>운임·물류비  (HIGH 3 / MEDIUM 4)</w:t>
      </w:r>
    </w:p>
    <w:p>
      <w:r>
        <w:rPr>
          <w:b/>
        </w:rPr>
        <w:t>🌐 해외 상황</w:t>
      </w:r>
    </w:p>
    <w:p>
      <w:r>
        <w:t>해상 컨테이너 운임이 코로나 시기 위기 최고치에 근접하는 수준으로 폭등했으며[24], 중국발 운임은 6개월 만에 두 배로 상승했다[27]. 호르무즈 해협을 통한 원유·LNG 선적량은 6개월 만에 최고치를 기록했다고 미 사령관이 밝혔으며[25][29][30], 대형 유조선(VLCC) 부족이 글로벌 원유 흐름을 위협하고 있다는 보도도 나왔다[26]. 미국의 관세 정책이 캐나다와 연계된 그레이트레이크스 해운에도 위협이 되고 있다[28].</w:t>
      </w:r>
    </w:p>
    <w:p>
      <w:pPr>
        <w:pStyle w:val="Heading3"/>
      </w:pPr>
      <w:r>
        <w:t>항만·화물  (HIGH 2 / MEDIUM 3)</w:t>
      </w:r>
    </w:p>
    <w:p>
      <w:r>
        <w:rPr>
          <w:b/>
        </w:rPr>
        <w:t>🇰🇷 국내 영향</w:t>
      </w:r>
    </w:p>
    <w:p>
      <w:r>
        <w:t>사우디 얀부항에서의 원유 선적이 급증하고 있으며[31], 울산 탱크터미널의 석유화학 반송수출이 12억 달러를 돌파했다[32]. 추석 연휴 기간에도 울산항 액체화물 부두는 정상 운영되고 있다[33][34]. 부산 북항을 인트라아시아 물류 허브로 강화해야 한다는 주장도 제기됐다[35].</w:t>
      </w:r>
    </w:p>
    <w:p>
      <w:pPr>
        <w:pStyle w:val="Heading3"/>
      </w:pPr>
      <w:r>
        <w:t>경제·금융  (HIGH 1 / MEDIUM 39)</w:t>
      </w:r>
    </w:p>
    <w:p>
      <w:r>
        <w:rPr>
          <w:b/>
        </w:rPr>
        <w:t>🌐 해외 상황</w:t>
      </w:r>
    </w:p>
    <w:p>
      <w:r>
        <w:t>미국 디젤 가격이 갤런당 6.49달러로 사상 최고치를 기록했으며[36], 트럭 운전사들은 주당 3,500달러의 연료비를 지출하면서 일부는 업종을 포기하고 있다[39]. WTI 원유 가격이 배럴당 100달러에 근접하고 있으며[45], 월스트리트는 유가 상승과 채권 금리 영향으로 하락했다[38]. 미국 연준 카시카리 총재는 인플레이션이 여전히 너무 높다고 밝혔고[40][43], 사우디 아람코는 유럽 구매자에 대한 10월 원유 공급을 중단했다[64].</w:t>
      </w:r>
    </w:p>
    <w:p>
      <w:r>
        <w:rPr>
          <w:b/>
        </w:rPr>
        <w:t>🇰🇷 국내 영향</w:t>
      </w:r>
    </w:p>
    <w:p>
      <w:r>
        <w:t>국제유가 상승에도 국내 유가는 동결 상태가 지속되면서 괴리 장기화 우려가 제기되고 있으며[54], 정부는 물가 비상 상황에서 기름값을 4주 추가 동결하기로 결정했다[55]. 추석 연휴를 앞두고 물가와 환율에 비상이 걸렸으며 대미 투자 협상도 고비를 맞고 있다[47]. 원/달러 환율은 1,400원을 돌파할 수 있으나 추세적 상승은 어려울 것이라는 전망과[53], 적정 환율은 1,300원대 초반이며 당분간 원화 강세가 유리하다는 분석이 엇갈리고 있다[50]. 고유가로 인해 미국 기업들이 제품 가격 책정에 어려움을 겪고 있다는 보도도 나왔다[52].</w:t>
      </w:r>
    </w:p>
    <w:p>
      <w:pPr>
        <w:pStyle w:val="Heading3"/>
      </w:pPr>
      <w:r>
        <w:t>해운  (HIGH 0 / MEDIUM 7)</w:t>
      </w:r>
    </w:p>
    <w:p>
      <w:r>
        <w:rPr>
          <w:b/>
        </w:rPr>
        <w:t>🇰🇷 국내 영향</w:t>
      </w:r>
    </w:p>
    <w:p>
      <w:r>
        <w:t>중동 전쟁 반사이익으로 중국의 상반기 선박 수주량이 전년 대비 2.7배 증가했으며[57], 중국은 대형 유조선 수주도 급증하고 있다[48]. 한국·미국·일본은 북극항로 및 에너지 개발 협력을 위한 MOU 체결을 이달 중 조율 중이며[58][59][60], 팬스타 아크로호가 북극항로 시범운항을 마치고 귀항길에 올랐다[61][62].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아랍에미리트에서 에티하드 레일 화물과 아부다비 항만이 후자이라-ICAD 간 직접 화물 철도 서비스를 개시해 아부다비 무역 확대와 도로 운송 비용 절감을 추진하고 있다[63].</w:t>
      </w:r>
    </w:p>
    <w:p>
      <w:pPr>
        <w:pStyle w:val="Heading3"/>
      </w:pPr>
      <w:r>
        <w:t>기타 산업  (HIGH 1 / MEDIUM 51)</w:t>
      </w:r>
    </w:p>
    <w:p>
      <w:r>
        <w:rPr>
          <w:b/>
        </w:rPr>
        <w:t>🌐 해외 상황</w:t>
      </w:r>
    </w:p>
    <w:p>
      <w:r>
        <w:t>카타르의 LNG 위기가 미국 천연가스의 새로운 시대를 열고 있다는 분석이 나왔으며[65], 호르무즈 위기가 글로벌 석탄 수요를 사상 최고치로 끌어올릴 것이라는 전망도 제기됐다[6]. 우크라이나는 모스크바를 포함한 러시아 전역에 올해 최대 규모의 드론 공격을 감행해 모스크바 정유소를 타격했다[67][71][72].</w:t>
      </w:r>
    </w:p>
    <w:p>
      <w:r>
        <w:rPr>
          <w:b/>
        </w:rPr>
        <w:t>🇰🇷 국내 영향</w:t>
      </w:r>
    </w:p>
    <w:p>
      <w:r>
        <w:t>한국 기업이 텍사스 LNG 발전에 30조 원을 투자해 20년간 60조 원을 회수하는 대미 투자 1호 프로젝트를 추진 중이며[74], 삼성E&amp;A는 LNG 모듈 패키지를 처음 공개하며 액화플랜트 시장 공략에 나섰다[75]. 사료 가격 폭등으로 축산 농가의 경영비 부담이 가중되고 있으며[76][77], 화학비료 가격도 급등하고 있다[78]. 국내 석유화학 업계는 구조조정 2차 시험대에 직면해 있다[79].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95</w:t>
            </w:r>
          </w:p>
        </w:tc>
        <w:tc>
          <w:tcPr>
            <w:tcW w:type="dxa" w:w="2946"/>
          </w:tcPr>
          <w:p>
            <w:r>
              <w:t>3.2%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265</w:t>
            </w:r>
          </w:p>
        </w:tc>
        <w:tc>
          <w:tcPr>
            <w:tcW w:type="dxa" w:w="2946"/>
          </w:tcPr>
          <w:p>
            <w:r>
              <w:t>9.0%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379</w:t>
            </w:r>
          </w:p>
        </w:tc>
        <w:tc>
          <w:tcPr>
            <w:tcW w:type="dxa" w:w="2946"/>
          </w:tcPr>
          <w:p>
            <w:r>
              <w:t>12.8%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2221</w:t>
            </w:r>
          </w:p>
        </w:tc>
        <w:tc>
          <w:tcPr>
            <w:tcW w:type="dxa" w:w="2946"/>
          </w:tcPr>
          <w:p>
            <w:r>
              <w:t>75.0%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