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2026-08-26</w:t>
      </w:r>
    </w:p>
    <w:p>
      <w:pPr>
        <w:jc w:val="center"/>
      </w:pPr>
      <w:r>
        <w:rPr>
          <w:color w:val="808080"/>
          <w:sz w:val="18"/>
        </w:rPr>
        <w:t>생성 모델: claude-sonnet-4-6  |  HIGH+MEDIUM 416건 (해외 295건 / 국내 121건)</w:t>
      </w:r>
    </w:p>
    <w:p/>
    <w:p>
      <w:pPr>
        <w:pStyle w:val="Heading2"/>
      </w:pPr>
      <w:r>
        <w:t>오늘의 핵심</w:t>
      </w:r>
    </w:p>
    <w:p>
      <w:r>
        <w:t>이란과 오만이 호르무즈 해협 수익 배분 및 임시 항로 개설에 합의했다는 보도가 잇따르며[14][15][16][17][19], 국제 유가는 2~2.5% 하락하고[62][67][69] 코스피는 지정학적 리스크 완화 기대에 상승 마감했다[72][74]. 그러나 이란은 미국이 수익 배분 합의를 수용하지 않으면 호르무즈는 여전히 봉쇄 상태라고 경고하고[10], IRGC는 호르무즈 통과를 시도하는 선박에 대한 군함 대치를 지속하고 있어[6] 실질적 재개방 여부는 불확실하다. 한편 카타르 LNG 수출은 호르무즈 교란으로 96% 급감했으며[41][42], 걸프 국가들은 호르무즈 우회를 위해 2,500만 배럴의 원유를 이동시키고 있다[23]. SK가스는 파나마 운하 통항권에 73~74억 원을 지불했으며 이는 연초 대비 100배 수준으로[33][34], 호르무즈 봉쇄에 따른 대체 항로 비용 급등이 국내 기업에 직접적 부담을 주고 있다. 미국의 7월 PCE 물가는 전년 대비 3.7% 상승하고 에너지 가격은 14.7% 올라[73][75] 공급망 위기의 인플레이션 파급이 확인되고 있다.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79 / MEDIUM 107)</w:t>
      </w:r>
    </w:p>
    <w:p>
      <w:r>
        <w:rPr>
          <w:b/>
        </w:rPr>
        <w:t>🌐 해외 상황</w:t>
      </w:r>
    </w:p>
    <w:p>
      <w:r>
        <w:t>이란과 오만은 호르무즈 해협 수익 배분 합의에 도달했다는 보도가 복수 매체에서 나왔으며[7][8][15], IRGC는 이란·오만 간 수익 배분 합의를 공식 발표했다[9]. 그러나 이란은 미국이 해당 합의를 수용하지 않으면 호르무즈는 봉쇄 상태를 유지한다고 경고했고[10], IRGC 군함이 호르무즈 통과를 시도하는 선박에 대치하는 사건도 발생했다[6]. 이란은 또 다른 선박을 공격했으며 미국은 1979년 이후 처음으로 이란 원유 수출을 차단하는 역사적 조치를 취했다[3]. 일부 석유 기업들은 이란 블랙리스트에 오른 선박 이용을 회피하기 시작했다[4][93].</w:t>
      </w:r>
    </w:p>
    <w:p>
      <w:r>
        <w:rPr>
          <w:b/>
        </w:rPr>
        <w:t>🇰🇷 국내 영향</w:t>
      </w:r>
    </w:p>
    <w:p>
      <w:r>
        <w:t>이란이 공개한 블랙리스트 선박 45척으로 해운업계가 긴장하고 있으며[13], 한국 기업들이 새로운 미국의 대이란 제재에 연루될 가능성이 제기되고 있다[11]. 이란 국적 유조선 약 20척이 미국의 봉쇄로 본국 항구에 접근하지 못하고 스리랑카 영해에 집결하고 있다[18][20]. 이란·오만 간 임시 항로 합의 소식에 국내 시장은 긴장 완화 기대를 반영했으나[14][16][17], 이란의 봉쇄 지속 경고로 상황은 여전히 유동적이다[10].</w:t>
      </w:r>
    </w:p>
    <w:p>
      <w:pPr>
        <w:pStyle w:val="Heading3"/>
      </w:pPr>
      <w:r>
        <w:t>해양안전  (HIGH 0 / MEDIUM 1)</w:t>
      </w:r>
    </w:p>
    <w:p>
      <w:r>
        <w:rPr>
          <w:b/>
        </w:rPr>
        <w:t>🇰🇷 국내 영향</w:t>
      </w:r>
    </w:p>
    <w:p>
      <w:r>
        <w:t>울산항에서 고위험 작업 시 2인 1조 의무화 조치가 시행된다[21].</w:t>
      </w:r>
    </w:p>
    <w:p>
      <w:pPr>
        <w:pStyle w:val="Heading3"/>
      </w:pPr>
      <w:r>
        <w:t>운임·물류비  (HIGH 10 / MEDIUM 7)</w:t>
      </w:r>
    </w:p>
    <w:p>
      <w:r>
        <w:rPr>
          <w:b/>
        </w:rPr>
        <w:t>🌐 해외 상황</w:t>
      </w:r>
    </w:p>
    <w:p>
      <w:r>
        <w:t>발틱건화물운임지수(BDI)가 5거래일 연속 상승세를 이어갔으며[22], 벌크선 시장은 전 선형에 걸쳐 회복세를 보이고 FFA 시장도 강세를 나타냈다[38]. 호르무즈를 통한 원유 수송 비용은 CEO 발언 기준 2,000만 달러에 달하는 것으로 알려졌고[27], 미국행 해상 운임은 1만 달러를 돌파했다[30]. 파나마 운하에서는 예약 없이 통과하려는 선박이 급증하며 경매 가격이 사상 최고치를 기록하고 있다[31]. 우크라이나와 러시아의 상호 공격으로 흑해 곡물·원유 수출도 급감하고 있다[24][39].</w:t>
      </w:r>
    </w:p>
    <w:p>
      <w:r>
        <w:rPr>
          <w:b/>
        </w:rPr>
        <w:t>🇰🇷 국내 영향</w:t>
      </w:r>
    </w:p>
    <w:p>
      <w:r>
        <w:t>SK가스는 파나마 운하 통항권 확보를 위해 73~74억 원을 지불했으며, 이는 연초 대비 100배 수준의 사상 최고 금액이다[32][33][34][35]. 사방이 막힌 중동 항로와 파나마 운하 통행료 수십 배 급등이 겹치며 국내 물류 부담이 가중되고 있다[37]. 벌크선 시장 회복세는 국내 해운사에 긍정적 신호로 작용할 가능성이 있다[38].</w:t>
      </w:r>
    </w:p>
    <w:p>
      <w:pPr>
        <w:pStyle w:val="Heading3"/>
      </w:pPr>
      <w:r>
        <w:t>항만·화물  (HIGH 6 / MEDIUM 17)</w:t>
      </w:r>
    </w:p>
    <w:p>
      <w:r>
        <w:rPr>
          <w:b/>
        </w:rPr>
        <w:t>🌐 해외 상황</w:t>
      </w:r>
    </w:p>
    <w:p>
      <w:r>
        <w:t>카타르 LNG 수출이 호르무즈 교란으로 96% 급감했으며 카타르는 240억 달러의 손실을 입은 것으로 보도됐다[41][42][108]. 걸프 국가들은 호르무즈 우회를 위해 2,500만 배럴의 원유를 이동시키고 있다[23]. 호르무즈를 통한 걸프 선박 통항량은 10일 평균을 하회하는 수준에 머물고 있다[25][26]. 닝보-저우산항이 싱가포르를 제치고 세계 2위 컨테이너 항만으로 부상했다[44].</w:t>
      </w:r>
    </w:p>
    <w:p>
      <w:r>
        <w:rPr>
          <w:b/>
        </w:rPr>
        <w:t>🇰🇷 국내 영향</w:t>
      </w:r>
    </w:p>
    <w:p>
      <w:r>
        <w:t>사우디 원유 400만 배럴을 실은 VLCC 2척이 오만 해상에서 환적 후 중국으로 향하고 있다[49]. 부산항 신항 서컨테이너부두에 국산 하역장비 반입이 시작됐으며[50][55], 부산항만공사는 국산 야드크레인 34기를 신항으로 이전하는 작업을 추진 중이다[52][53][58]. 울산항만공사(UPA)는 위험물 해상환적 부두를 3곳 추가 확대하고 질소공급·해상환적 동시 가능 부두도 늘릴 계획이다[54][56]. 동원터미널은 셧다운 50일째를 맞아 악순환이 지속되고 있다[57].</w:t>
      </w:r>
    </w:p>
    <w:p>
      <w:pPr>
        <w:pStyle w:val="Heading3"/>
      </w:pPr>
      <w:r>
        <w:t>경제·금융  (HIGH 12 / MEDIUM 91)</w:t>
      </w:r>
    </w:p>
    <w:p>
      <w:r>
        <w:rPr>
          <w:b/>
        </w:rPr>
        <w:t>🌐 해외 상황</w:t>
      </w:r>
    </w:p>
    <w:p>
      <w:r>
        <w:t>이란·오만 호르무즈 협상 진전 소식에 국제 유가는 2~2.5% 하락했으며[62][67], 루비오 미 국무장관이 추가 공습을 배제하면서 유가 하락세가 이어졌다[64]. EU 국가들은 호르무즈 위기로 화석연료 수입 비용이 약 410억 유로 추가 발생한 것으로 나타났으며[63], CREA는 6개월간 글로벌 화석연료 수입 비용이 3,300억 달러 증가했다고 발표했다[66]. 이란 부유식 원유 저장량은 5개월치 공급분 수준으로 줄어든 것으로 보도됐다[107].</w:t>
      </w:r>
    </w:p>
    <w:p>
      <w:r>
        <w:rPr>
          <w:b/>
        </w:rPr>
        <w:t>🇰🇷 국내 영향</w:t>
      </w:r>
    </w:p>
    <w:p>
      <w:r>
        <w:t>호르무즈 임시 항로 협상 진전 소식에 코스피는 지정학적 리스크 완화 기대로 상승 마감하며 6,800선을 회복했다[72][74]. 미·이란 합의 기대감에 아시아 증시가 일제히 상승했으며 뉴욕 증시도 반전에 성공했다[70][71]. 미국의 7월 PCE 물가는 전년 대비 3.7% 상승해 전망치를 웃돌았고[73], 에너지 가격은 14.7% 상승했다[75]. HD현대오일뱅크는 고유가 상황에서 계약 주유소 경유 가격을 50원 낮추기 위해 500억 원을 지원했다[78]. 코스피는 2주째 6,500~7,000선 박스권에 갇혀 있으며 이번 주 대내외 주요 일정이 분수령이 될 전망이다[77].</w:t>
      </w:r>
    </w:p>
    <w:p>
      <w:pPr>
        <w:pStyle w:val="Heading3"/>
      </w:pPr>
      <w:r>
        <w:t>수산물  (HIGH 0 / MEDIUM 5)</w:t>
      </w:r>
    </w:p>
    <w:p>
      <w:r>
        <w:rPr>
          <w:b/>
        </w:rPr>
        <w:t>🇰🇷 국내 영향</w:t>
      </w:r>
    </w:p>
    <w:p>
      <w:r>
        <w:t>거제 굴 종패 양식장의 80%가 폐사하며 굴 생산 기반이 흔들리고 있고[79], 남해안 고수온으로 양식어류 128만 마리가 폐사했다[80]. 해양열파 발생 빈도가 3배 이상 증가했으며 미래에는 연간 300일 고수온이 지속될 수 있다는 전망이 나왔다[81][82]. 농심은 45년째 완도 다시마를 올해도 490톤 매입하며 국내 다시마 공급망을 유지하고 있다[83].</w:t>
      </w:r>
    </w:p>
    <w:p>
      <w:pPr>
        <w:pStyle w:val="Heading3"/>
      </w:pPr>
      <w:r>
        <w:t>해운  (HIGH 1 / MEDIUM 16)</w:t>
      </w:r>
    </w:p>
    <w:p>
      <w:r>
        <w:rPr>
          <w:b/>
        </w:rPr>
        <w:t>🌐 해외 상황</w:t>
      </w:r>
    </w:p>
    <w:p>
      <w:r>
        <w:t>화요일 기준 상품 운반 선박 5척이 호르무즈 해협을 통과했다[84]. 유엔은 해운 혼란이 글로벌 식량 공급을 위협하고 있다고 경고했으며[85], 컨테이너 선사 한 곳이 드론 위협으로 러시아 흑해 서비스를 중단했다[88]. 인도는 향후 5년간 신조선 100척 건조를 통한 해운 독립 계획을 발표했다[87]. MSC가 해운 순위 1위를 유지하고 있으며 APM 터미널은 3위로 올라섰다[89].</w:t>
      </w:r>
    </w:p>
    <w:p>
      <w:r>
        <w:rPr>
          <w:b/>
        </w:rPr>
        <w:t>🇰🇷 국내 영향</w:t>
      </w:r>
    </w:p>
    <w:p>
      <w:r>
        <w:t>태풍 사우델 대비로 중국 선박들이 항구로 귀환하고 있다[94][95]. 케이조선은 중형 석유화학제품운반선 6척을 5,100억 원 규모로 수주했다[98]. LS전선은 LS마린솔루션 주식을 300억 원어치 매입하며 성장 잠재력에 대한 확신을 표명했다[97]. AI를 활용한 북극해 유빙 정보 분석 기반 안전 항해 기술이 개발되고 있다[96].</w:t>
      </w:r>
    </w:p>
    <w:p>
      <w:pPr>
        <w:pStyle w:val="Heading3"/>
      </w:pPr>
      <w:r>
        <w:t>항만혼잡  (HIGH 0 / MEDIUM 8)</w:t>
      </w:r>
    </w:p>
    <w:p>
      <w:r>
        <w:rPr>
          <w:b/>
        </w:rPr>
        <w:t>🌐 해외 상황</w:t>
      </w:r>
    </w:p>
    <w:p>
      <w:r>
        <w:t>파나마와 엘살바도르가 엘니뇨 가뭄으로 국가 비상사태를 선포했으며[99][100][103][104], 엘살바도르는 적색 경보를 발령했다[105][106]. 파나마 운하 관리자는 수자원 확보의 중요성을 강조했다[101].</w:t>
      </w:r>
    </w:p>
    <w:p>
      <w:pPr>
        <w:pStyle w:val="Heading3"/>
      </w:pPr>
      <w:r>
        <w:t>기타 산업  (HIGH 2 / MEDIUM 54)</w:t>
      </w:r>
    </w:p>
    <w:p>
      <w:r>
        <w:rPr>
          <w:b/>
        </w:rPr>
        <w:t>🌐 해외 상황</w:t>
      </w:r>
    </w:p>
    <w:p>
      <w:r>
        <w:t>밀 선물 가격이 3년 만에 최고치로 급등했으며 JP모건과 HSBC는 글로벌 식량 충격 가능성을 경고했다[113]. 우크라이나 드론 공격으로 러시아 내 Wildberries 물류창고가 파괴됐고[110][111], 또 다른 러시아 정유시설이 화재로 피해를 입으며 디젤 가격이 역사적 고점에 근접했다[112].</w:t>
      </w:r>
    </w:p>
    <w:p>
      <w:r>
        <w:rPr>
          <w:b/>
        </w:rPr>
        <w:t>🇰🇷 국내 영향</w:t>
      </w:r>
    </w:p>
    <w:p>
      <w:r>
        <w:t>한국과 베트남은 2030년 교역 1,500억 달러를 목표로 핵심광물·석유비축 협력을 강화하기로 했으며[119][121][124][125], 한국석유공사는 베트남 지하 석유비축기지 구축을 지원한다[122]. 산업부 장관은 베트남의 에너지 파트너가 될 준비가 됐다고 밝히며 원유 공동 비축도 추진 중이다[123][126]. KIEP는 가이아나 원유가 중동산을 대체할 수 있다며 수입 검토를 권고했고[120], 일본은 원전·재생에너지 강화를 통해 호르무즈 의존도를 낮추는 방향으로 에너지 정책을 전환하고 있다[117].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2782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110</w:t>
            </w:r>
          </w:p>
        </w:tc>
        <w:tc>
          <w:tcPr>
            <w:tcW w:type="dxa" w:w="2946"/>
          </w:tcPr>
          <w:p>
            <w:r>
              <w:t>4.0%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306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519</w:t>
            </w:r>
          </w:p>
        </w:tc>
        <w:tc>
          <w:tcPr>
            <w:tcW w:type="dxa" w:w="2946"/>
          </w:tcPr>
          <w:p>
            <w:r>
              <w:t>18.7%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1847</w:t>
            </w:r>
          </w:p>
        </w:tc>
        <w:tc>
          <w:tcPr>
            <w:tcW w:type="dxa" w:w="2946"/>
          </w:tcPr>
          <w:p>
            <w:r>
              <w:t>66.4%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