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2026-06-22</w:t>
      </w:r>
    </w:p>
    <w:p>
      <w:pPr>
        <w:jc w:val="center"/>
      </w:pPr>
      <w:r>
        <w:rPr>
          <w:color w:val="808080"/>
          <w:sz w:val="18"/>
        </w:rPr>
        <w:t>생성 모델: claude-sonnet-4-6  |  HIGH+MEDIUM 472건 (해외 281건 / 국내 191건)</w:t>
      </w:r>
    </w:p>
    <w:p/>
    <w:p>
      <w:pPr>
        <w:pStyle w:val="Heading2"/>
      </w:pPr>
      <w:r>
        <w:t>오늘의 핵심</w:t>
      </w:r>
    </w:p>
    <w:p>
      <w:r>
        <w:t>미국 재무부가 이란산 원유 판매·수송에 대한 제재를 60일간(8월 21일까지) 면제하는 일반 라이선스를 발급하면서[12][17][18] 호르무즈 해협 긴장이 완화 국면에 접어들었다. 이란은 IAEA 핵사찰 재개에 동의했으며[15][16] 미·이란 간 스위스 협상이 상당한 진전을 이룬 것으로 보도됐다[8]. 한국 선박 2척이 종전 합의 후 처음으로 호르무즈 해협을 통과했으나[75][81] 잔류 22척의 통항 일정은 여전히 불투명한 상황이다[77][79]. 한편 세계 최대 LNG 허브인 카타르 라스라판 가스 단지에서 폭발 사고가 발생해 13명이 사망하고 66명이 부상했으나[88][91][94] 카타르 에너지부는 수출에는 영향이 없다고 밝혔으며[94] 한국 정부도 국내 수급 영향이 제한적이라고 평가했다[46]. 흑해에서는 러시아 드론이 우크라이나행 화물선을 공격해 이집트 선원 1명이 사망하고 인도·터키 선원 8명이 구조됐다[23][24].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85 / MEDIUM 137)</w:t>
      </w:r>
    </w:p>
    <w:p>
      <w:r>
        <w:rPr>
          <w:b/>
        </w:rPr>
        <w:t>🌐 해외 상황</w:t>
      </w:r>
    </w:p>
    <w:p>
      <w:r>
        <w:t>미국 재무부는 미·이란 평화 협상 진전을 배경으로 이란산 원유 판매·수송·인도에 대한 제재를 60일간 면제하는 일반 라이선스를 발급했다[1][9][10]. 미·이란 양측은 스위스에서 협상을 진행해 상당한 진전을 이뤘으며, 호르무즈 해협 사고 방지를 위한 채널도 설치된 것으로 보도됐다[8]. 이란은 IAEA 핵사찰 재개에 동의했으며 밴스 미국 부통령은 이번 주 내 검증 협의가 가능하다고 밝혔다[15][16]. 트럼프 행정부는 이란산 원유 판매를 허용하면서도 쿠바는 이번 조치에서 제외했다[5]. 호르무즈 긴장 완화 신호가 나오면서 나이지리아 등 복수 매체가 긴장 완화 국면을 보도했다[7].</w:t>
      </w:r>
    </w:p>
    <w:p>
      <w:r>
        <w:rPr>
          <w:b/>
        </w:rPr>
        <w:t>🇰🇷 국내 영향</w:t>
      </w:r>
    </w:p>
    <w:p>
      <w:r>
        <w:t>한국 관련 선박 2척이 미·이란 합의 이후 처음으로 호르무즈 해협을 통과했다[11][74][75]. 다만 해협 내 잔류 중인 한국 선박 22척의 통항 일정은 협상 진행 속도에 따라 불투명한 상황이다[77][79][80]. 한국 외교부는 호르무즈 통행료 징수는 허용되지 않는다는 입장을 밝혔다[36]. 미·이란 후속 협상 진전과 핵사찰 복귀, 호르무즈 안정화 동향이 국내에서도 주요 이슈로 다뤄지고 있다[20].</w:t>
      </w:r>
    </w:p>
    <w:p>
      <w:pPr>
        <w:pStyle w:val="Heading3"/>
      </w:pPr>
      <w:r>
        <w:t>해양안전  (HIGH 0 / MEDIUM 6)</w:t>
      </w:r>
    </w:p>
    <w:p>
      <w:r>
        <w:rPr>
          <w:b/>
        </w:rPr>
        <w:t>🌐 해외 상황</w:t>
      </w:r>
    </w:p>
    <w:p>
      <w:r>
        <w:t>러시아 드론이 우크라이나행 화물선을 공격해 이집트 선원 1명이 사망하고 인도·터키 선원 8명이 구조됐다[23][24]. 터키는 드론 공격으로 부상한 선원들의 상태를 모니터링 중이며[21] 우크라이나 해군은 터키 건화물선이 드론에 피격됐다고 밝혔다[25]. 흑해에서의 민간 선박 대상 공격이 지속되고 있는 상황이다.</w:t>
      </w:r>
    </w:p>
    <w:p>
      <w:r>
        <w:rPr>
          <w:b/>
        </w:rPr>
        <w:t>🇰🇷 국내 영향</w:t>
      </w:r>
    </w:p>
    <w:p>
      <w:r>
        <w:t>국내에서는 싸이터가 설계부터 운항까지 해양 사이버보안 전주기 솔루션을 발표했다[26].</w:t>
      </w:r>
    </w:p>
    <w:p>
      <w:pPr>
        <w:pStyle w:val="Heading3"/>
      </w:pPr>
      <w:r>
        <w:t>운임·물류비  (HIGH 5 / MEDIUM 5)</w:t>
      </w:r>
    </w:p>
    <w:p>
      <w:r>
        <w:rPr>
          <w:b/>
        </w:rPr>
        <w:t>🌐 해외 상황</w:t>
      </w:r>
    </w:p>
    <w:p>
      <w:r>
        <w:t>호르무즈 해협 통과 선박 수는 우려로 인해 감소했다가 일부 반등하는 흐름을 보이고 있으며[27][28] 컨테이너 해운의 완전한 호르무즈 복귀는 9월 중순까지 걸릴 수 있다는 Xeneta 분석이 나왔다[29]. 유가는 호르무즈 트래픽 둔화와 트럼프의 새로운 위협 발언 속에 상승했다가[30] 미·이란 협상 기대감으로 하락하는 등 변동성을 보였다[48]. 호르무즈를 통한 인도행 비료 화물 운송이 재개됐다[34]. 건화물 자산 가치는 다각화된 교역 성장으로 상승세를 보이고 있으며[31] 아시아 역내 컨테이너 운임 지수는 전주 대비 소폭 상승했다[32].</w:t>
      </w:r>
    </w:p>
    <w:p>
      <w:r>
        <w:rPr>
          <w:b/>
        </w:rPr>
        <w:t>🇰🇷 국내 영향</w:t>
      </w:r>
    </w:p>
    <w:p>
      <w:r>
        <w:t>이란이 호르무즈 재봉쇄 상황에서도 원유 수백만 배럴을 통과시켰다는 보도가 나왔다[35]. 한국 외교부는 호르무즈 통행료 징수는 허용되지 않는다는 입장을 재확인했다[36].</w:t>
      </w:r>
    </w:p>
    <w:p>
      <w:pPr>
        <w:pStyle w:val="Heading3"/>
      </w:pPr>
      <w:r>
        <w:t>항만·화물  (HIGH 3 / MEDIUM 7)</w:t>
      </w:r>
    </w:p>
    <w:p>
      <w:r>
        <w:rPr>
          <w:b/>
        </w:rPr>
        <w:t>🌐 해외 상황</w:t>
      </w:r>
    </w:p>
    <w:p>
      <w:r>
        <w:t>사우디아라비아의 원유 수출은 4월 기준 사상 최저 수준으로 감소했다[37]. 인도의 6월 원유 수입은 러시아산 공급 증가에 힘입어 사상 최고치를 기록했으며[41] 러시아산이 전체 수입의 절반 이상을 차지했다[42]. 인도는 호르무즈 완전 회복 이전에 러시아산 및 UAE산 원유 구매를 늘렸다[43]. 중국은 제재 대상인 러시아 Arctic LNG 2 프로젝트 화물을 수용하기 위한 두 번째 LNG 터미널을 준비 중이다[38]. 아시아 전체 원유 수입은 반등했으나 중국 유입량은 사상 최저 수준을 기록했다[39].</w:t>
      </w:r>
    </w:p>
    <w:p>
      <w:r>
        <w:rPr>
          <w:b/>
        </w:rPr>
        <w:t>🇰🇷 국내 영향</w:t>
      </w:r>
    </w:p>
    <w:p>
      <w:r>
        <w:t>이란이 봉쇄 주장에도 불구하고 원유 2,600만 배럴을 수출한 것으로 보도됐다[44]. 쿠웨이트는 호르무즈 해협 재개 흐름 속에 나프타 선적을 제안했다[45]. 카타르 라스라판 폭발 사고에 대해 한국 정부는 국내 수급 영향이 제한적이라고 평가했다[46].</w:t>
      </w:r>
    </w:p>
    <w:p>
      <w:pPr>
        <w:pStyle w:val="Heading3"/>
      </w:pPr>
      <w:r>
        <w:t>경제·금융  (HIGH 24 / MEDIUM 94)</w:t>
      </w:r>
    </w:p>
    <w:p>
      <w:r>
        <w:rPr>
          <w:b/>
        </w:rPr>
        <w:t>🌐 해외 상황</w:t>
      </w:r>
    </w:p>
    <w:p>
      <w:r>
        <w:t>미국이 이란산 원유 제재를 완화하면서 이란은 미·이란 합의 발표 이후 3,600만 배럴의 원유를 수출한 것으로 보도됐다[47]. 원유 가격은 호르무즈 상황에 대한 엇갈린 보도 속에 급락하는 등 변동성이 컸다[48]. 인도 중앙은행(RBI)은 서아시아 전쟁으로 인한 연료 가격 상승 압력을 경고하면서도 호르무즈 우려 완화로 원유 가격이 안정되고 있다고 밝혔다[55]. 영국에서는 호르무즈 봉쇄가 수주 내 휘발유 가격 상승으로 이어질 수 있다는 우려가 제기됐다[56].</w:t>
      </w:r>
    </w:p>
    <w:p>
      <w:r>
        <w:rPr>
          <w:b/>
        </w:rPr>
        <w:t>🇰🇷 국내 영향</w:t>
      </w:r>
    </w:p>
    <w:p>
      <w:r>
        <w:t>서울 증시는 미·이란 협상 기대감과 반도체주 강세에 힘입어 코스피가 9,100선을 돌파하며 사상 최고치를 기록했다[57]. 미·이란 협상 불확실성으로 장 초반 하락 출발하는 등 변동성도 나타났다[58]. 미 재무부의 이란산 원유 60일 허가 조치가 속보로 다뤄지며 국내 시장에 즉각 반영됐다[59][60][61][62]. 폭염과 호르무즈 긴장이 겹치며 유럽 가스 가격이 상승했다는 보도도 국내에서 주목받았다[63]. 일본 닛케이 지수는 미·이란 협상 기대감 속에 사상 처음으로 72,000선을 돌파했다[66].</w:t>
      </w:r>
    </w:p>
    <w:p>
      <w:pPr>
        <w:pStyle w:val="Heading3"/>
      </w:pPr>
      <w:r>
        <w:t>해운  (HIGH 17 / MEDIUM 6)</w:t>
      </w:r>
    </w:p>
    <w:p>
      <w:r>
        <w:rPr>
          <w:b/>
        </w:rPr>
        <w:t>🌐 해외 상황</w:t>
      </w:r>
    </w:p>
    <w:p>
      <w:r>
        <w:t>MarineTraffic에 따르면 호르무즈 해협 통과 선박은 3일간 71회를 기록하며 반등했으나 위험 요인은 여전히 존재한다[67]. 카타르 LNG 운반선들이 해운 둔화에도 불구하고 호르무즈 해협 재진입을 시작했다[68][69]. 인도 유조선 3척이 86만 MT 이상의 화물과 94명의 선원을 태우고 호르무즈를 안전하게 통과했다[70][73]. 걸프 지역에 발이 묶인 일본 관련 선박 수는 37척으로 감소했다[87].</w:t>
      </w:r>
    </w:p>
    <w:p>
      <w:r>
        <w:rPr>
          <w:b/>
        </w:rPr>
        <w:t>🇰🇷 국내 영향</w:t>
      </w:r>
    </w:p>
    <w:p>
      <w:r>
        <w:t>한국 선박 2척이 종전 합의 후 처음으로 호르무즈 해협을 통과했으며[75][81][82] 목적지는 제3국인 것으로 보도됐다[83]. 그러나 해협 내 잔류 중인 22척의 통항 시기는 여전히 불투명하다[77][79][80]. 한때 협상이 파행 조짐을 보이면서 122척이 탈출 행렬을 이루는 상황도 보도됐다[78]. NH농협은행과 한국해양진흥공사가 해양산업 금융지원 협력을 체결했다[84].</w:t>
      </w:r>
    </w:p>
    <w:p>
      <w:pPr>
        <w:pStyle w:val="Heading3"/>
      </w:pPr>
      <w:r>
        <w:t>물류  (HIGH 0 / MEDIUM 3)</w:t>
      </w:r>
    </w:p>
    <w:p>
      <w:r>
        <w:rPr>
          <w:b/>
        </w:rPr>
        <w:t>🇰🇷 국내 영향</w:t>
      </w:r>
    </w:p>
    <w:p>
      <w:r>
        <w:t>해양수산부는 UN해양총회 개최를 앞두고 해양금융 협력 확대에 나섰다[85]. SK가 중국 공급망박람회에 처음으로 참가하며 공급망 단절 우려에 대응하는 움직임을 보였다[86].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걸프 지역에 발이 묶인 일본 관련 선박 수가 37척으로 감소했다[87].</w:t>
      </w:r>
    </w:p>
    <w:p>
      <w:pPr>
        <w:pStyle w:val="Heading3"/>
      </w:pPr>
      <w:r>
        <w:t>기타 산업  (HIGH 64 / MEDIUM 15)</w:t>
      </w:r>
    </w:p>
    <w:p>
      <w:r>
        <w:rPr>
          <w:b/>
        </w:rPr>
        <w:t>🌐 해외 상황</w:t>
      </w:r>
    </w:p>
    <w:p>
      <w:r>
        <w:t>카타르 라스라판 가스 단지에서 폭발 사고가 발생해 13명이 사망하고 66명이 부상했다[88][89][91]. 사망자 중 12명은 인도인으로 보도됐다[90][92][93]. 카타르 에너지부는 이번 사고가 운영 재개 작업 중 발생했으며 수출에는 영향이 없다고 밝혔다[94][96]. 사고는 고의적 파괴 행위가 아닌 것으로 카타르 에너지부가 확인했다[93].</w:t>
      </w:r>
    </w:p>
    <w:p>
      <w:r>
        <w:rPr>
          <w:b/>
        </w:rPr>
        <w:t>🇰🇷 국내 영향</w:t>
      </w:r>
    </w:p>
    <w:p>
      <w:r>
        <w:t>카타르 라스라판 폭발 사고가 국내에서 대규모로 보도됐으며[98][102][103][105][106] 한국 정부는 국내 LNG 수급 영향이 제한적이라고 평가했다[100]. 이란이 호르무즈 해협을 통해 전시 최고치의 원유를 수출했다는 보도도 나왔다[99]. 세계 에너지 시장 혼란 가능성에 대한 우려도 제기됐다[101][104].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2611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198</w:t>
            </w:r>
          </w:p>
        </w:tc>
        <w:tc>
          <w:tcPr>
            <w:tcW w:type="dxa" w:w="2946"/>
          </w:tcPr>
          <w:p>
            <w:r>
              <w:t>7.6%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274</w:t>
            </w:r>
          </w:p>
        </w:tc>
        <w:tc>
          <w:tcPr>
            <w:tcW w:type="dxa" w:w="2946"/>
          </w:tcPr>
          <w:p>
            <w:r>
              <w:t>10.5%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371</w:t>
            </w:r>
          </w:p>
        </w:tc>
        <w:tc>
          <w:tcPr>
            <w:tcW w:type="dxa" w:w="2946"/>
          </w:tcPr>
          <w:p>
            <w:r>
              <w:t>14.2%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1768</w:t>
            </w:r>
          </w:p>
        </w:tc>
        <w:tc>
          <w:tcPr>
            <w:tcW w:type="dxa" w:w="2946"/>
          </w:tcPr>
          <w:p>
            <w:r>
              <w:t>67.7%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