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2026-04-01</w:t>
      </w:r>
    </w:p>
    <w:p>
      <w:pPr>
        <w:jc w:val="center"/>
      </w:pPr>
      <w:r>
        <w:rPr>
          <w:color w:val="808080"/>
          <w:sz w:val="18"/>
        </w:rPr>
        <w:t>생성 모델: claude-sonnet-4-6  |  HIGH+MEDIUM 518건 (해외 238건 / 국내 280건)</w:t>
      </w:r>
    </w:p>
    <w:p/>
    <w:p>
      <w:pPr>
        <w:pStyle w:val="Heading2"/>
      </w:pPr>
      <w:r>
        <w:t>오늘의 핵심</w:t>
      </w:r>
    </w:p>
    <w:p>
      <w:r>
        <w:t>호르무즈 해협 봉쇄 33일째, 이란 혁명수비대가 '적에게 절대 개방 없다'는 입장을 재확인하며 트럼프의 휴전 조건(호르무즈 개방 선결)과 정면 충돌하고 있다. IEA는 4월 원유 공급 차질 규모가 3월의 2배에 달할 것으로 경고했으며, 한국 정부는 원유 위기경보를 '경계' 단계로 격상하고 공공기관 차량 2부제 시행을 예고했다. 나프타 수급 비상이 현실화되며 석유화학 단지 가동 차질과 포장재 가격 폭등 등 실물경제 피해가 확산되고 있고, 브렌트유는 98.65달러(-4.84%)로 100달러 아래로 내려왔으나 이란 평화협상 기대감에 따른 일시적 변동 가능성이 있다.</w:t>
      </w:r>
    </w:p>
    <w:p/>
    <w:p>
      <w:pPr>
        <w:pStyle w:val="Heading2"/>
      </w:pPr>
      <w:r>
        <w:t>카테고리별 분석</w:t>
      </w:r>
    </w:p>
    <w:p>
      <w:pPr>
        <w:pStyle w:val="Heading3"/>
      </w:pPr>
      <w:r>
        <w:t>안보·군사  (HIGH 90 / MEDIUM 167)</w:t>
      </w:r>
    </w:p>
    <w:p>
      <w:r>
        <w:rPr>
          <w:b/>
        </w:rPr>
        <w:t>🌐 해외 상황</w:t>
      </w:r>
    </w:p>
    <w:p>
      <w:r>
        <w:t>영국이 호르무즈 해협 개방을 위한 35개국 외무장관 회담을 이번 주 개최할 예정이며, UAE는 미국의 무력 개방 시도에 협력 의사를 밝혔다는 보도가 나왔다. 이란 혁명수비대는 '호르무즈 해협은 적에게 절대 열리지 않는다'는 입장을 반복 천명했으며, 트럼프는 호르무즈 개방 없이는 휴전 협상이 없다고 못 박았다. 사우디아라비아는 하루 약 100만 배럴을 호르무즈 우회 경로로 전환한 것으로 알려졌고, 이란은 방글라데시 연료 선박 6척에 한해 통과 허가를 내준 것으로 보인다.</w:t>
      </w:r>
    </w:p>
    <w:p>
      <w:r>
        <w:rPr>
          <w:b/>
        </w:rPr>
        <w:t>🇰🇷 국내 영향</w:t>
      </w:r>
    </w:p>
    <w:p>
      <w:r>
        <w:t>한국 정부는 비상 상황을 선언하고 원유 비축유 방출의 법적 근거 명확화를 추진 중이며, 원유 위기경보를 '경계' 단계로 격상했다. 한국은 첫 원유 스왑 프로그램을 가동해 중동 리스크를 상쇄하려는 시도를 시작했으며, IEA는 4월 석유 공급 차질이 3월의 2배 수준에 달할 것으로 전망해 국내 에너지 수급 압박이 한층 심화될 가능성이 크다.</w:t>
      </w:r>
    </w:p>
    <w:p>
      <w:pPr>
        <w:pStyle w:val="Heading3"/>
      </w:pPr>
      <w:r>
        <w:t>해양안전  (HIGH 2 / MEDIUM 2)</w:t>
      </w:r>
    </w:p>
    <w:p>
      <w:r>
        <w:rPr>
          <w:b/>
        </w:rPr>
        <w:t>🌐 해외 상황</w:t>
      </w:r>
    </w:p>
    <w:p>
      <w:r>
        <w:t>호르무즈 해협 봉쇄로 약 2만 명의 선원이 해역에 발이 묶인 상태로, 전후 시대에 유례없는 상황이라는 평가가 나온다. 한 선원은 '미사일이 날아가는 것을 직접 목격했다'고 증언했으며, 전문가들은 제2차 세계대전 이후 선원들이 이처럼 전쟁 구역에 갇힌 선례가 없다고 경고하고 있다.</w:t>
      </w:r>
    </w:p>
    <w:p>
      <w:r>
        <w:rPr>
          <w:b/>
        </w:rPr>
        <w:t>🇰🇷 국내 영향</w:t>
      </w:r>
    </w:p>
    <w:p>
      <w:r>
        <w:t>황종우 해수부 장관이 광양항 컨테이너 부두 하역 안전 점검을 실시하는 등 국내 항만 안전 관리를 강화하고 있다. 호르무즈 인근 억류 선원 문제는 한국 선사 운항 선박에도 해당될 가능성이 있어 지속 모니터링이 필요한 상황으로 보인다.</w:t>
      </w:r>
    </w:p>
    <w:p>
      <w:pPr>
        <w:pStyle w:val="Heading3"/>
      </w:pPr>
      <w:r>
        <w:t>운임·물류비  (HIGH 1 / MEDIUM 11)</w:t>
      </w:r>
    </w:p>
    <w:p>
      <w:r>
        <w:rPr>
          <w:b/>
        </w:rPr>
        <w:t>🌐 해외 상황</w:t>
      </w:r>
    </w:p>
    <w:p>
      <w:r>
        <w:t>중동 긴장 고조로 컨테이너 운임이 상승세를 보이고 있으며, 베트남은 국제 해상 운임이 최대 80% 급등할 수 있다고 경고했다. 항공화물 운임도 추가 상승 중이고 항공사들은 연료 할증료를 잇달아 인상하고 있으며, 컨테이너 선박 운항 일정 준수율은 2026년 2월 기준 59%까지 하락했다. 일부 해운사들은 연료 할증료를 인상했으며, 트럭 화물 운임도 소폭 상승세를 보이고 있다.</w:t>
      </w:r>
    </w:p>
    <w:p>
      <w:r>
        <w:rPr>
          <w:b/>
        </w:rPr>
        <w:t>🇰🇷 국내 영향</w:t>
      </w:r>
    </w:p>
    <w:p>
      <w:r>
        <w:t>국내 유류할증료가 3배 수준으로 치솟았으며 5월 이후가 더 우려된다는 지적이 나오고 있다. 벌크선 시장은 4월 중순 이후 운임 상승 가능성이 대두되고 있어 원자재 수입 비용 증가 압력이 가중될 가능성이 있다.</w:t>
      </w:r>
    </w:p>
    <w:p>
      <w:pPr>
        <w:pStyle w:val="Heading3"/>
      </w:pPr>
      <w:r>
        <w:t>항만·화물  (HIGH 4 / MEDIUM 8)</w:t>
      </w:r>
    </w:p>
    <w:p>
      <w:r>
        <w:rPr>
          <w:b/>
        </w:rPr>
        <w:t>🌐 해외 상황</w:t>
      </w:r>
    </w:p>
    <w:p>
      <w:r>
        <w:t>한국이 반도체 공급망 위기에 대응해 러시아산 나프타로 수입 다변화를 시도하고 있다는 보도가 나왔다. 우크라이나의 공격으로 러시아 우스트-루가 항에서 며칠간 원유 선적이 중단되는 사태도 발생해 대체 공급원 확보에도 차질이 빚어지고 있다.</w:t>
      </w:r>
    </w:p>
    <w:p>
      <w:r>
        <w:rPr>
          <w:b/>
        </w:rPr>
        <w:t>🇰🇷 국내 영향</w:t>
      </w:r>
    </w:p>
    <w:p>
      <w:r>
        <w:t>아시아 LNG 수입이 급감하며 에너지 대란이 현실화되고 있고, 나프타 수급 비상으로 5월 이후 대란 우려가 커지고 있다. 한국 정부는 모든 품목의 수급 상황 목록화와 투명 공개를 지시했으며, 이 대통령이 직접 품목별 수급 대응 지시를 내렸다. 인천항만공사는 북아프리카 3개 항만을 연결하는 NAX 컨테이너 서비스를 개통해 중동 우회 물류망 다변화를 시도 중이다.</w:t>
      </w:r>
    </w:p>
    <w:p>
      <w:pPr>
        <w:pStyle w:val="Heading3"/>
      </w:pPr>
      <w:r>
        <w:t>경제·금융  (HIGH 9 / MEDIUM 136)</w:t>
      </w:r>
    </w:p>
    <w:p>
      <w:r>
        <w:rPr>
          <w:b/>
        </w:rPr>
        <w:t>🌐 해외 상황</w:t>
      </w:r>
    </w:p>
    <w:p>
      <w:r>
        <w:t>트럼프 행정부 관계자들이 유가 150달러 돌파 '악몽 시나리오'를 대비 중이라는 보도가 나왔으나, 이란 전쟁 종식 기대감으로 다우·S&amp;P500·나스닥이 2일 연속 상승했다. 브렌트유 선물은 평화협상 기대로 98.65달러(-4.84%)를 기록했으며, 트레이더들은 약 10억 달러 규모의 원유 약세 베팅을 늘리고 있다. 독일은 중동 전쟁 여파로 성장 전망치가 하향 조정됐으며, 유럽 전반에 에너지·경제 충격파가 확산 중이다.</w:t>
      </w:r>
    </w:p>
    <w:p>
      <w:r>
        <w:rPr>
          <w:b/>
        </w:rPr>
        <w:t>🇰🇷 국내 영향</w:t>
      </w:r>
    </w:p>
    <w:p>
      <w:r>
        <w:t>원·달러 환율은 트럼프의 중동 전쟁 종식 시그널에 원화가 강세를 보이며 반응했고, 서울 증시도 중동전 종식 기대감에 강세로 출발했다. 한국 정부는 원유 위기경보를 '경계' 단계로 격상하고 공공기관 차량 2부제를 8일부터 시행하는 등 비상 대응에 나섰으며, 윤활유 사재기·품귀 우려에 범부처 합동점검도 실시되고 있다.</w:t>
      </w:r>
    </w:p>
    <w:p>
      <w:pPr>
        <w:pStyle w:val="Heading3"/>
      </w:pPr>
      <w:r>
        <w:t>수산물  (HIGH 0 / MEDIUM 6)</w:t>
      </w:r>
    </w:p>
    <w:p>
      <w:r>
        <w:rPr>
          <w:b/>
        </w:rPr>
        <w:t>🌐 해외 상황</w:t>
      </w:r>
    </w:p>
    <w:p>
      <w:r>
        <w:t>걸프 지역 어민들이 원유 유출로 인한 경제적 피해를 보고 있으며, 이스터 기간 어류 부족과 고가 현상이 시장에서 나타나고 있다. 연료비 급등으로 인한 부담 증가로 수산업계에서 현지 수산물 소비를 촉구하는 목소리가 나오고 있다.</w:t>
      </w:r>
    </w:p>
    <w:p>
      <w:r>
        <w:rPr>
          <w:b/>
        </w:rPr>
        <w:t>🇰🇷 국내 영향</w:t>
      </w:r>
    </w:p>
    <w:p>
      <w:r>
        <w:t>면세유 가격 폭등으로 국내 어민들이 조업을 포기할 상황에 처해 있으며, 수산업 전반의 경영 악화가 우려된다. 황종우 해양수산부 장관은 수산인의 날 행사에서 정책적 지원을 약속했으나 연료비 부담 해소를 위한 구체적 대책 마련이 시급한 상황으로 보인다.</w:t>
      </w:r>
    </w:p>
    <w:p>
      <w:pPr>
        <w:pStyle w:val="Heading3"/>
      </w:pPr>
      <w:r>
        <w:t>해운  (HIGH 0 / MEDIUM 10)</w:t>
      </w:r>
    </w:p>
    <w:p>
      <w:r>
        <w:rPr>
          <w:b/>
        </w:rPr>
        <w:t>🌐 해외 상황</w:t>
      </w:r>
    </w:p>
    <w:p>
      <w:r>
        <w:t>ONE과 하팍로이드가 아시아 지역 터미널 인수를 가속화하고 있는 것으로 나타났다.</w:t>
      </w:r>
    </w:p>
    <w:p>
      <w:r>
        <w:rPr>
          <w:b/>
        </w:rPr>
        <w:t>🇰🇷 국내 영향</w:t>
      </w:r>
    </w:p>
    <w:p>
      <w:r>
        <w:t>HMM이 배당금 6,603억 원으로 최다 배당을 기록했으며, 대한조선은 탱커 집중 전략으로 영업이익률 30% 돌파 가능성이 제기되고 있다. HD현대중공업 모회사는 3조 원 규모 교환사채를 발행해 해외 조선소 확장을 추진 중이며, 삼성중공업은 3,420억 원 규모 VLGC 2척을 수주했다. 한편 중동 사태로 두바이항 인근에서 K-중고차 수출 선박이 항로를 돌리는 상황이 발생하며 수출 차질이 현실화되고 있다.</w:t>
      </w:r>
    </w:p>
    <w:p>
      <w:pPr>
        <w:pStyle w:val="Heading3"/>
      </w:pPr>
      <w:r>
        <w:t>물류  (HIGH 0 / MEDIUM 11)</w:t>
      </w:r>
    </w:p>
    <w:p>
      <w:r>
        <w:rPr>
          <w:b/>
        </w:rPr>
        <w:t>🇰🇷 국내 영향</w:t>
      </w:r>
    </w:p>
    <w:p>
      <w:r>
        <w:t>한국과 인도네시아가 정상회담 및 비즈니스 포럼을 개최해 배터리·니켈·공급망 등 9건의 MOU를 체결하며 중동 의존도 완화를 위한 공급망 다변화를 추진했다. 이 대통령은 '공급망을 닫으면 부메랑이 된다'는 입장 아래 모든 주요 품목의 수급 상황 목록화와 적시 대응을 지시했다.</w:t>
      </w:r>
    </w:p>
    <w:p>
      <w:pPr>
        <w:pStyle w:val="Heading3"/>
      </w:pPr>
      <w:r>
        <w:t>기타 산업  (HIGH 15 / MEDIUM 44)</w:t>
      </w:r>
    </w:p>
    <w:p>
      <w:r>
        <w:rPr>
          <w:b/>
        </w:rPr>
        <w:t>🌐 해외 상황</w:t>
      </w:r>
    </w:p>
    <w:p>
      <w:r>
        <w:t>라이언에어 CEO 마이클 오리어리는 이란 전쟁으로 5~6월 항공유 공급 차질 가능성을 경고했으며, 중동 갈등이 석유화학 제품 가격 폭등과 글로벌 공급망 긴장을 유발하고 있다. 동남아는 브라질산 연료유 수입 확대로 공급 우려를 일부 완화하고 있으며, 아시아 연료 부족으로 호주가 미국·유럽 공급원을 탐색 중이다. 나프타 크래커 4기 추가 가동 계획도 보도됐다.</w:t>
      </w:r>
    </w:p>
    <w:p>
      <w:r>
        <w:rPr>
          <w:b/>
        </w:rPr>
        <w:t>🇰🇷 국내 영향</w:t>
      </w:r>
    </w:p>
    <w:p>
      <w:r>
        <w:t>나프타 수급난으로 포장 용기 가격이 최대 2배 급등했으며 구하기도 어려운 상황이 됐다. 여수 석유화학 단지에서는 도시락 원료 공급 중단으로 400개 주문이 70개로 급감하는 등 실물 피해가 가시화되고 있으며, 정부와 유화업계가 나프타 수급난 해소에 총력을 기울이고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1978</w:t>
            </w:r>
          </w:p>
        </w:tc>
        <w:tc>
          <w:tcPr>
            <w:tcW w:type="dxa" w:w="2946"/>
          </w:tcPr>
          <w:p>
            <w:r>
              <w:t>100.0%</w:t>
            </w:r>
          </w:p>
        </w:tc>
      </w:tr>
      <w:tr>
        <w:tc>
          <w:tcPr>
            <w:tcW w:type="dxa" w:w="2946"/>
          </w:tcPr>
          <w:p>
            <w:r>
              <w:t>HIGH</w:t>
            </w:r>
          </w:p>
        </w:tc>
        <w:tc>
          <w:tcPr>
            <w:tcW w:type="dxa" w:w="2946"/>
          </w:tcPr>
          <w:p>
            <w:r>
              <w:t>121</w:t>
            </w:r>
          </w:p>
        </w:tc>
        <w:tc>
          <w:tcPr>
            <w:tcW w:type="dxa" w:w="2946"/>
          </w:tcPr>
          <w:p>
            <w:r>
              <w:t>6.1%</w:t>
            </w:r>
          </w:p>
        </w:tc>
      </w:tr>
      <w:tr>
        <w:tc>
          <w:tcPr>
            <w:tcW w:type="dxa" w:w="2946"/>
          </w:tcPr>
          <w:p>
            <w:r>
              <w:t>MEDIUM</w:t>
            </w:r>
          </w:p>
        </w:tc>
        <w:tc>
          <w:tcPr>
            <w:tcW w:type="dxa" w:w="2946"/>
          </w:tcPr>
          <w:p>
            <w:r>
              <w:t>397</w:t>
            </w:r>
          </w:p>
        </w:tc>
        <w:tc>
          <w:tcPr>
            <w:tcW w:type="dxa" w:w="2946"/>
          </w:tcPr>
          <w:p>
            <w:r>
              <w:t>20.1%</w:t>
            </w:r>
          </w:p>
        </w:tc>
      </w:tr>
      <w:tr>
        <w:tc>
          <w:tcPr>
            <w:tcW w:type="dxa" w:w="2946"/>
          </w:tcPr>
          <w:p>
            <w:r>
              <w:t>LOW</w:t>
            </w:r>
          </w:p>
        </w:tc>
        <w:tc>
          <w:tcPr>
            <w:tcW w:type="dxa" w:w="2946"/>
          </w:tcPr>
          <w:p>
            <w:r>
              <w:t>376</w:t>
            </w:r>
          </w:p>
        </w:tc>
        <w:tc>
          <w:tcPr>
            <w:tcW w:type="dxa" w:w="2946"/>
          </w:tcPr>
          <w:p>
            <w:r>
              <w:t>19.0%</w:t>
            </w:r>
          </w:p>
        </w:tc>
      </w:tr>
      <w:tr>
        <w:tc>
          <w:tcPr>
            <w:tcW w:type="dxa" w:w="2946"/>
          </w:tcPr>
          <w:p>
            <w:r>
              <w:t>NONE</w:t>
            </w:r>
          </w:p>
        </w:tc>
        <w:tc>
          <w:tcPr>
            <w:tcW w:type="dxa" w:w="2946"/>
          </w:tcPr>
          <w:p>
            <w:r>
              <w:t>1084</w:t>
            </w:r>
          </w:p>
        </w:tc>
        <w:tc>
          <w:tcPr>
            <w:tcW w:type="dxa" w:w="2946"/>
          </w:tcPr>
          <w:p>
            <w:r>
              <w:t>54.8%</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