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2026-05-22</w:t>
      </w:r>
    </w:p>
    <w:p>
      <w:pPr>
        <w:jc w:val="center"/>
      </w:pPr>
      <w:r>
        <w:rPr>
          <w:color w:val="808080"/>
          <w:sz w:val="18"/>
        </w:rPr>
        <w:t>생성 모델: claude-sonnet-4-6  |  HIGH+MEDIUM 346건 (해외 165건 / 국내 181건)</w:t>
      </w:r>
    </w:p>
    <w:p/>
    <w:p>
      <w:pPr>
        <w:pStyle w:val="Heading2"/>
      </w:pPr>
      <w:r>
        <w:t>오늘의 핵심</w:t>
      </w:r>
    </w:p>
    <w:p>
      <w:r>
        <w:t>미·이란 종전 협상이 '약간의 진전'을 보이는 가운데[11][12][13], 사우디 매체는 합의 초안이 수 시간 내 발표될 가능성을 보도했으나[14][15] 호르무즈 통제권과 핵 문제는 여전히 쟁점으로 남아 있다[16][17][18]. 이란 혁명수비대는 이틀 연속 하루 30척 이상의 선박이 '허가를 받고' 호르무즈를 통과했다고 발표하며 통제권을 공식화하고 있고[73][74][76], 미국 중부사령부는 봉쇄 기간 중 97척이 항로를 변경했다고 밝혔다[27]. 국제유가는 협상 불확실성 속에 상승세를 이어가며 Brent 기준 단기 120달러, 최악의 경우 150~200달러 시나리오가 제기되고 있으며[48][50][52], 국내 달러-원 환율은 장중 1,520원에 근접하는 등 아시아 통화 약세가 심화되고 있다[67][62]. SCFI는 4주 연속 상승하며 2,200선을 돌파했고[40], 한국가스공사는 연간 70만 톤 규모의 LNG 장기 도입 계약을 체결하며 공급 다변화에 나섰다[43][44].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27 / MEDIUM 132)</w:t>
      </w:r>
    </w:p>
    <w:p>
      <w:r>
        <w:rPr>
          <w:b/>
        </w:rPr>
        <w:t>🌐 해외 상황</w:t>
      </w:r>
    </w:p>
    <w:p>
      <w:r>
        <w:t>EU는 호르무즈 봉쇄 위기를 이유로 이란에 대한 추가 제재를 부과했으며[1][2], 카타르는 호르무즈 재개방 협상이 절정에 달한 가운데 테헤란에 중재단을 파견했다[3]. 미 국무장관 루비오는 협상에서 '약간의 진전'이 있었다고 밝혔으나 이란의 핵무기 보유와 호르무즈 통제권 요구는 수용 불가 입장을 고수했다[4][7]. 이란은 호르무즈에 대한 통제를 강화하고 있으며[5][8], 중국·파키스탄은 이란 주권 인정을 포함한 5개항 제안을 내놓은 것으로 보도됐다[9]. 이란의 호르무즈 통제권과 우라늄 비축 문제는 평화 협상의 핵심 쟁점으로 남아 있다[10].</w:t>
      </w:r>
    </w:p>
    <w:p>
      <w:r>
        <w:rPr>
          <w:b/>
        </w:rPr>
        <w:t>🇰🇷 국내 영향</w:t>
      </w:r>
    </w:p>
    <w:p>
      <w:r>
        <w:t>사우디 매체는 미·이란 합의 초안이 수 시간 내 발표될 가능성이 있으며 휴전과 제재 단계적 해제가 포함될 것이라고 보도했다[13][14][15]. 루비오 국무장관은 협상에서 '미미한 진전'을 인정하면서도 이란의 핵무기 보유는 절대 불가 입장을 재확인했다[16][17]. 미·이란 종전 협상이 진전 조짐을 보이고 있으나 호르무즈 해협 통제권과 우라늄 문제는 여전히 미해결 상태로, 합의 성사 여부는 불확실한 상황이다[18][19]. 호르무즈 통제권을 둘러싼 미·이란 이견이 지속되는 가운데 국제유가가 다시 100달러대를 기록했다[20].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소말리아 인근 해역에서 유조선이 의심 선박의 접근을 차단하기 위해 경고 사격을 실시했다[21]. 이라크에서는 볼리비아 국적 선박 2척과의 교신이 두절되어 구조대가 출동했다[22]. IMO는 자율운항선박에 관한 최초의 비강제 국제기준을 채택했다[23].</w:t>
      </w:r>
    </w:p>
    <w:p>
      <w:r>
        <w:rPr>
          <w:b/>
        </w:rPr>
        <w:t>🇰🇷 국내 영향</w:t>
      </w:r>
    </w:p>
    <w:p>
      <w:r>
        <w:t>IMO의 자율운항선박 비강제 국제기준 채택으로 국제 표준화의 첫발이 마련됐다[24][25][26]. 이번 기준 채택은 자율운항선박 기술 개발에 앞서 있는 한국 조선·해운 업계에 국제 표준 대응의 기준점이 될 것으로 보인다[24][25].</w:t>
      </w:r>
    </w:p>
    <w:p>
      <w:pPr>
        <w:pStyle w:val="Heading3"/>
      </w:pPr>
      <w:r>
        <w:t>운임·물류비  (HIGH 4 / MEDIUM 10)</w:t>
      </w:r>
    </w:p>
    <w:p>
      <w:r>
        <w:rPr>
          <w:b/>
        </w:rPr>
        <w:t>🌐 해외 상황</w:t>
      </w:r>
    </w:p>
    <w:p>
      <w:r>
        <w:t>미국 중부사령부는 봉쇄 기간 중 97척의 선박이 항로를 변경했다고 밝혔다[27]. 미 법무부는 중국 컨테이너 제조사 4개사와 임원 7명을 글로벌 담합 공모 혐의로 기소했으며[30][32], 싱가포르 해운 베테랑 Teo Siong Seng을 포함한 컨테이너 업체 임원들이 가격 담합 혐의를 받고 있다[33]. 파나마 운하는 첫 여성 운하청장으로 Ilya Espino de Marotta를 임명했으며[34], 나오스 섬의 혼란 상황도 보도됐다[35]. 인도는 말라카 해협 의존도를 낮출 수 있는 90억 달러 규모의 섬 메가포트 프로젝트를 추진 중이다[29].</w:t>
      </w:r>
    </w:p>
    <w:p>
      <w:r>
        <w:rPr>
          <w:b/>
        </w:rPr>
        <w:t>🇰🇷 국내 영향</w:t>
      </w:r>
    </w:p>
    <w:p>
      <w:r>
        <w:t>SCFI가 2,200선을 돌파하며 4주 연속 상승세를 기록했다[40]. 이란과 오만이 호르무즈 통행료 부과를 협상 중이라는 NYT 보도가 나왔으며[36][38][39], 호르무즈 통행료(약 30억 달러 수준)와 파나마 운하 통행료(약 60억 달러 수준)를 비교하는 분석도 제기됐다[37]. 이란의 통행료 논의가 종전 협상의 판을 깰 수 있다는 우려도 나오고 있다[38][39].</w:t>
      </w:r>
    </w:p>
    <w:p>
      <w:pPr>
        <w:pStyle w:val="Heading3"/>
      </w:pPr>
      <w:r>
        <w:t>항만·화물  (HIGH 2 / MEDIUM 5)</w:t>
      </w:r>
    </w:p>
    <w:p>
      <w:r>
        <w:rPr>
          <w:b/>
        </w:rPr>
        <w:t>🌐 해외 상황</w:t>
      </w:r>
    </w:p>
    <w:p>
      <w:r>
        <w:t>방글라데시 치타공 항구에 원유를 실은 선박이 입항했다[41]. 사우디아라비아는 석유 파이프라인을 통한 수출이 37.4% 증가하며 2022년 이후 최대 무역 흑자를 기록했다[42].</w:t>
      </w:r>
    </w:p>
    <w:p>
      <w:r>
        <w:rPr>
          <w:b/>
        </w:rPr>
        <w:t>🇰🇷 국내 영향</w:t>
      </w:r>
    </w:p>
    <w:p>
      <w:r>
        <w:t>한국가스공사는 글로벌 에너지 업체와 연간 70만 톤 규모의 LNG 장기 도입 계약을 체결했다[43][44]. 충남도는 서산 대산석유화학단지 근로자·기업 지원 규모를 확대하고 대산 산단 통합을 추진하고 있다[45][46]. 매년 200조 원 이상의 수입 구조가 달라질 수 있다는 분석도 제기됐다[47].</w:t>
      </w:r>
    </w:p>
    <w:p>
      <w:pPr>
        <w:pStyle w:val="Heading3"/>
      </w:pPr>
      <w:r>
        <w:t>경제·금융  (HIGH 9 / MEDIUM 89)</w:t>
      </w:r>
    </w:p>
    <w:p>
      <w:r>
        <w:rPr>
          <w:b/>
        </w:rPr>
        <w:t>🌐 해외 상황</w:t>
      </w:r>
    </w:p>
    <w:p>
      <w:r>
        <w:t>Citi는 Brent 원유 가격이 단기적으로 배럴당 120달러에 달하고, 강세 시나리오에서는 150달러까지 오를 수 있다고 전망했다[48][49]. 호르무즈 해협이 계속 봉쇄될 경우 원유가 배럴당 200달러를 넘을 수 있다는 최악의 시나리오도 보고됐다[50][52]. 미·이란 평화 협상의 불확실성 속에 유가는 2% 상승하는 등 변동성이 지속되고 있다[53][54][55][56].</w:t>
      </w:r>
    </w:p>
    <w:p>
      <w:r>
        <w:rPr>
          <w:b/>
        </w:rPr>
        <w:t>🇰🇷 국내 영향</w:t>
      </w:r>
    </w:p>
    <w:p>
      <w:r>
        <w:t>미국 소비심리가 또다시 최저치를 기록하며 전쟁발 인플레이션 공포가 확산되고 있다[58]. 달러-원 환율은 뉴욕 시장에서 1,510원 후반대에 거래됐으며[65], 장중 1,520원에 근접하며 한 달 반 만에 최고치를 기록했다[67]. 중동전 여파로 한국·일본 등 아시아 통화 가치가 흔들리며 환율 방어에 총력을 기울이고 있고[62], 1,500원이 '뉴노멀'로 자리잡으면서 무역 흑자와 원화 강세의 공식이 깨졌다는 분석이 나왔다[61]. 정부는 고유가 지원금으로 이미 4조 원을 집행했으며 2차 지원금 신청률이 60%를 돌파해 약 2,000만 명이 신청했다[64][66]. EU는 에너지 가격이 2027년까지 높은 수준을 유지할 것이라고 전망했다[63].</w:t>
      </w:r>
    </w:p>
    <w:p>
      <w:pPr>
        <w:pStyle w:val="Heading3"/>
      </w:pPr>
      <w:r>
        <w:t>해운  (HIGH 21 / MEDIUM 7)</w:t>
      </w:r>
    </w:p>
    <w:p>
      <w:r>
        <w:rPr>
          <w:b/>
        </w:rPr>
        <w:t>🌐 해외 상황</w:t>
      </w:r>
    </w:p>
    <w:p>
      <w:r>
        <w:t>이란은 지난 24시간 동안 35척의 선박이 허가를 받고 호르무즈를 통과했다고 발표했으며[70], 이는 이란이 통행 허가제를 사실상 공식화하는 움직임으로 보인다. GTT는 한화오션의 LNG 운반선 탱크 설계를 수주했다[69]. MOL은 자동차 운반선에 대한 첫 연간 LNG 벙커링 계약을 체결했다[72]. 시리아는 CMA CGM과 내륙 건화물 항만 2곳 운영 계약을 체결했다[68]. 중국의 동남아시아 연결 신규 운하가 예상보다 일찍 개통될 것으로 보도됐다[71].</w:t>
      </w:r>
    </w:p>
    <w:p>
      <w:r>
        <w:rPr>
          <w:b/>
        </w:rPr>
        <w:t>🇰🇷 국내 영향</w:t>
      </w:r>
    </w:p>
    <w:p>
      <w:r>
        <w:t>이란 혁명수비대는 이틀 연속 하루 30척 이상의 선박이 '허가를 받고' 호르무즈를 통과했다고 발표하며 통제권을 과시했다[73][74][76][77][78]. 이란은 유조선과 컨테이너선을 포함한 선박들이 승인된 항로로 통과했다고 주장하며 통행 허가제를 기정사실화하려는 것으로 보인다[75][79][81]. 한화오션은 GTT와 LNG 운반선 탱크 설계 협력을 진행 중이다[69].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한국해양진흥공사가 베트남 복합물류센터에 금융 지원을 결정했다[83].</w:t>
      </w:r>
    </w:p>
    <w:p>
      <w:pPr>
        <w:pStyle w:val="Heading3"/>
      </w:pPr>
      <w:r>
        <w:t>기타 산업  (HIGH 5 / MEDIUM 27)</w:t>
      </w:r>
    </w:p>
    <w:p>
      <w:r>
        <w:rPr>
          <w:b/>
        </w:rPr>
        <w:t>🌐 해외 상황</w:t>
      </w:r>
    </w:p>
    <w:p>
      <w:r>
        <w:t>EU는 중동 위기의 농업 영향을 완화하기 위해 핵심 비료 관세를 일시 중단하기로 했다[84][85]. FAO는 호르무즈 해협 봉쇄가 '심각한' 식량 가격 위기를 촉발할 수 있다고 경고했다[86]. 우크라이나 드론이 러시아 가즈프롬네프트의 30만 배럴/일 규모 정유소를 야간 공격했다[88][89]. 사우디아라비아는 가스 생산 감소로 연료유 수입을 늘려야 하는 상황에 처했다[91]. 아메리칸 리소스의 ReElement Technologies와 POSCO 인터내셔널은 미국 내 희토류·자석 생산을 위한 합작법인을 설립했다[87][90][92].</w:t>
      </w:r>
    </w:p>
    <w:p>
      <w:r>
        <w:rPr>
          <w:b/>
        </w:rPr>
        <w:t>🇰🇷 국내 영향</w:t>
      </w:r>
    </w:p>
    <w:p>
      <w:r>
        <w:t>POSCO 인터내셔널은 ReElement Technologies와 미국 희토류 정제 공장 건설을 위한 합작법인을 설립했다[94]. 중동 위기로 LNG와 국제유가 변동성이 확대되면서 국내 수급 관리 강화 필요성이 제기됐다[95]. 한국지역난방공사는 중동발 에너지 위기 대응을 위한 비상경영 점검에 나섰다[96]. 정부와 정유업계는 손실 보전 논의를 본격화하며 7월 정산을 목표로 협의 중이다[99]. 7·8월 에너지 대란 경고가 나오는 가운데[98] 571MW 규모의 동서발전 음성천연가스발전소가 상업운전을 개시하며 여름철 전력 공급에 나섰다[102][103]. 수출입은행은 사우디 아람코와 30억 달러 규모의 금융 계약을 체결했다[100]. 일본 정부는 중동발 나프타 공급 충격에 대응해 미국·알제리·페루로부터 수입을 확대하고 있다[101].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68</w:t>
            </w:r>
          </w:p>
        </w:tc>
        <w:tc>
          <w:tcPr>
            <w:tcW w:type="dxa" w:w="2946"/>
          </w:tcPr>
          <w:p>
            <w:r>
              <w:t>2.3%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278</w:t>
            </w:r>
          </w:p>
        </w:tc>
        <w:tc>
          <w:tcPr>
            <w:tcW w:type="dxa" w:w="2946"/>
          </w:tcPr>
          <w:p>
            <w:r>
              <w:t>9.4%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433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2181</w:t>
            </w:r>
          </w:p>
        </w:tc>
        <w:tc>
          <w:tcPr>
            <w:tcW w:type="dxa" w:w="2946"/>
          </w:tcPr>
          <w:p>
            <w:r>
              <w:t>73.7%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