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2026-05-14</w:t>
      </w:r>
    </w:p>
    <w:p>
      <w:pPr>
        <w:jc w:val="center"/>
      </w:pPr>
      <w:r>
        <w:rPr>
          <w:color w:val="808080"/>
          <w:sz w:val="18"/>
        </w:rPr>
        <w:t>생성 모델: claude-sonnet-4-6  |  HIGH+MEDIUM 432건 (해외 265건 / 국내 167건)</w:t>
      </w:r>
    </w:p>
    <w:p/>
    <w:p>
      <w:pPr>
        <w:pStyle w:val="Heading2"/>
      </w:pPr>
      <w:r>
        <w:t>오늘의 핵심</w:t>
      </w:r>
    </w:p>
    <w:p>
      <w:r>
        <w:t>UAE 인근 호르무즈 해협에서 선박 나포 및 침몰 사건이 동시 발생하며 해협 긴장이 고조된 가운데[1][2][4][7], 이란은 '부유 무기고' 선박을 나포하고 쿠웨이트는 이란이 중국 자금 지원 항구가 있는 섬을 공격했다고 비난했다[3][6]. 미중 정상회담에서 트럼프와 시진핑은 '이란 핵무장 불허·호르무즈 개방' 원칙에 합의했으며[14][17], 이란은 일부 중국 선박의 호르무즈 통과를 13일 밤부터 허용하기 시작한 것으로 보도됐다[67][68][77]. 한국 선박 '나무호' 공격과 관련해 한국 정부는 이란 외 다른 주체 가능성이 크지 않다고 밝히고 기술분석팀을 두바이에 파견했으며[11][19][22], 외교적 공세를 예고했다[18]. 국제에너지기구(IEA)는 호르무즈 공급 손실로 글로벌 원유 재고가 기록적 속도로 감소하고 있다고 경고했으며[49][50][98], 유가는 100달러 위를 유지하고 있다[48][52]. 한국 석유공사는 미국산 원유 210만 배럴을 여수 석유비축기지에 입고하며 에너지 안보 대응에 나섰다[37][38][44].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59 / MEDIUM 160)</w:t>
      </w:r>
    </w:p>
    <w:p>
      <w:r>
        <w:rPr>
          <w:b/>
        </w:rPr>
        <w:t>🌐 해외 상황</w:t>
      </w:r>
    </w:p>
    <w:p>
      <w:r>
        <w:t>UAE 인근 호르무즈 해협에서 선박 1척이 나포되어 이란 방향으로 이동했으며, 오만 앞바다에서는 화물선 1척이 침몰했다[2][4][7]. 나포된 선박은 '부유 무기고'였던 것으로 보도됐으며[3][5], 쿠웨이트는 이란이 중국 자금 지원 항구가 있는 섬을 공격했다고 비난했다[6]. 트럼프 대통령은 시진핑이 이란과의 협상 지원을 제안했으며 호르무즈 해협 개방을 원한다고 밝혔고[8], 미중 정상은 '이란 핵무장 불허·호르무즈 개방' 원칙에 합의했다[14][17]. UAE 에너지부 장관은 호르무즈가 사실상 인질로 잡혀 에너지가 무기화됐다고 발언했다[10].</w:t>
      </w:r>
    </w:p>
    <w:p>
      <w:r>
        <w:rPr>
          <w:b/>
        </w:rPr>
        <w:t>🇰🇷 국내 영향</w:t>
      </w:r>
    </w:p>
    <w:p>
      <w:r>
        <w:t>한국 정부는 나무호 공격 주체로 이란 외 다른 주체 가능성이 크지 않다고 밝히며 이란을 사실상 지목했다[11][19][20]. 고위 당국자는 공격 주체가 확인되면 응분의 공세를 취하겠다고 밝혔으며[18], 정부는 외교적 공세를 예고했다[11]. 한국 정부는 기술분석팀을 두바이에 파견해 나무호 피격 사건을 조사 중이다[22]. 트럼프·시진핑 정상회담에서 무역, 이란, 대만 등 주요 현안이 논의됐으며 한국도 이 회담 결과를 주시하고 있다[13].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인도는 오만 앞바다에서 발생한 선박 공격을 규탄했으며, 해당 선박은 침몰한 것으로 보고됐다[21].</w:t>
      </w:r>
    </w:p>
    <w:p>
      <w:r>
        <w:rPr>
          <w:b/>
        </w:rPr>
        <w:t>🇰🇷 국내 영향</w:t>
      </w:r>
    </w:p>
    <w:p>
      <w:r>
        <w:t>한국 정부는 호르무즈 해협 피격 선박 조사를 위해 기술분석팀을 두바이에 파견했다[22].</w:t>
      </w:r>
    </w:p>
    <w:p>
      <w:pPr>
        <w:pStyle w:val="Heading3"/>
      </w:pPr>
      <w:r>
        <w:t>운임·물류비  (HIGH 7 / MEDIUM 3)</w:t>
      </w:r>
    </w:p>
    <w:p>
      <w:r>
        <w:rPr>
          <w:b/>
        </w:rPr>
        <w:t>🌐 해외 상황</w:t>
      </w:r>
    </w:p>
    <w:p>
      <w:r>
        <w:t>이란이 수십 척의 선박이 호르무즈를 통과하고 있다고 밝힌 이후 유가가 소폭 하락했으며[23], 인도 국영석유공사(IOC) LPG 화물이 서아시아 위기 속에서도 호르무즈를 안전하게 통과했다[24]. 반면 EIA에 따르면 호르무즈를 통한 원유 흐름은 전 분기 대비 약 30% 감소했으며[26], 하루 600만 배럴 감소라는 보도도 있다[27]. 컨테이너 현물 운임은 조기 성수기를 앞두고 선사들이 할증료를 부과하면서 급등했다[29].</w:t>
      </w:r>
    </w:p>
    <w:p>
      <w:r>
        <w:rPr>
          <w:b/>
        </w:rPr>
        <w:t>🇰🇷 국내 영향</w:t>
      </w:r>
    </w:p>
    <w:p>
      <w:r>
        <w:t>중국 유조선이 호르무즈를 통과했으며, 이란과 오만이 통행세를 조율 중인 것으로 보도됐다[31]. 호르무즈 해협 통행량이 증가하는 가운데 AIS(선박자동식별장치)를 끈 선박도 늘고 있는 것으로 나타났다[32].</w:t>
      </w:r>
    </w:p>
    <w:p>
      <w:pPr>
        <w:pStyle w:val="Heading3"/>
      </w:pPr>
      <w:r>
        <w:t>항만·화물  (HIGH 5 / MEDIUM 8)</w:t>
      </w:r>
    </w:p>
    <w:p>
      <w:r>
        <w:rPr>
          <w:b/>
        </w:rPr>
        <w:t>🌐 해외 상황</w:t>
      </w:r>
    </w:p>
    <w:p>
      <w:r>
        <w:t>미국은 유가 상승에 대응해 전략비축유(SPR) 5,300만 배럴을 방출했다[33]. 사우디아라비아의 원유 생산량은 호르무즈 교란 여파로 1990년 이후 최저 수준으로 떨어졌다[34]. 인도의 차바하르 항구 운영이 불투명해지면서 인도의 중앙아시아·러시아 접근 경로에 차질이 우려된다[36].</w:t>
      </w:r>
    </w:p>
    <w:p>
      <w:r>
        <w:rPr>
          <w:b/>
        </w:rPr>
        <w:t>🇰🇷 국내 영향</w:t>
      </w:r>
    </w:p>
    <w:p>
      <w:r>
        <w:t>한국석유공사는 미국산 원유 210만 배럴을 여수 석유비축기지에 입고했으며, 손주석 사장이 현장을 직접 점검했다[37][38][44][45]. 이는 중동산 원유 의존도를 낮추기 위한 비중동산 원유 도입 조치의 일환으로 보인다[41]. 삼성전자는 생산 비상 체제를 가동하며 반도체 공급망 불안에 대응하고 있다[40].</w:t>
      </w:r>
    </w:p>
    <w:p>
      <w:pPr>
        <w:pStyle w:val="Heading3"/>
      </w:pPr>
      <w:r>
        <w:t>경제·금융  (HIGH 8 / MEDIUM 91)</w:t>
      </w:r>
    </w:p>
    <w:p>
      <w:r>
        <w:rPr>
          <w:b/>
        </w:rPr>
        <w:t>🌐 해외 상황</w:t>
      </w:r>
    </w:p>
    <w:p>
      <w:r>
        <w:t>국제유가는 트럼프·시진핑 회담과 이란 분쟁 속에서 100달러 위를 유지하고 있으며[48][52], 호르무즈 위기 75일째를 맞았다[52]. IEA는 중동 교란으로 원유 시장 공급 부족을 경고했으며[49], 각국이 기록적 속도로 원유 재고를 소진하고 있다고 밝혔다[50]. IMF는 이란 전쟁 교란이 글로벌 경제를 '불리한' 시나리오로 몰아가고 있다고 경고했다[55]. 캐나다 가스 가격은 이란 전쟁 여파로 사상 최고치에 근접하고 있다[53].</w:t>
      </w:r>
    </w:p>
    <w:p>
      <w:r>
        <w:rPr>
          <w:b/>
        </w:rPr>
        <w:t>🇰🇷 국내 영향</w:t>
      </w:r>
    </w:p>
    <w:p>
      <w:r>
        <w:t>한국 정부는 중동 전쟁 속 물가 안정을 위해 총력 대응을 선언했으며[58], 유가가 100달러 아래로 내려가야 최고가격제 해제를 검토하겠다고 밝혔다[61][63]. 미국 4월 소매판매는 고유가 영향으로 0.5% 증가에 그치며 증가세가 둔화됐다[64][65]. 한국은 미국과 통화스와프를 재개했으며[56], 미중 정상회담 결과로 한국 반도체 기업들은 어려운 선택에 직면한 것으로 보도됐다[57]. 미 재무장관은 이란의 원유 저장 공간이 소진되어 생산 중단이 불가피하다고 밝혔다[59].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인도 구자라트 어민들은 2년 연속 전쟁 여파로 위기에 처해 있다[66].</w:t>
      </w:r>
    </w:p>
    <w:p>
      <w:pPr>
        <w:pStyle w:val="Heading3"/>
      </w:pPr>
      <w:r>
        <w:t>해운  (HIGH 17 / MEDIUM 25)</w:t>
      </w:r>
    </w:p>
    <w:p>
      <w:r>
        <w:rPr>
          <w:b/>
        </w:rPr>
        <w:t>🌐 해외 상황</w:t>
      </w:r>
    </w:p>
    <w:p>
      <w:r>
        <w:t>이란이 일부 중국 선박의 호르무즈 통과를 13일 밤부터 허용하기 시작했으며[68][71], 중국 초대형 유조선이 호르무즈 봉쇄를 통과했다[67]. 인도행 LPG 탱커 2척이 호르무즈를 통과했으나 또 다른 선박 1척은 공격 후 침몰했다[69]. 일본 연계 원유 탱커 2척이 호르무즈를 통과했으며, 다카이치 총리가 이란에 직접 요청한 것으로 알려졌다[70][72][75][78]. HMM은 운임 하락으로 1분기 영업이익이 전년 대비 56% 감소했다[73].</w:t>
      </w:r>
    </w:p>
    <w:p>
      <w:r>
        <w:rPr>
          <w:b/>
        </w:rPr>
        <w:t>🇰🇷 국내 영향</w:t>
      </w:r>
    </w:p>
    <w:p>
      <w:r>
        <w:t>이란 매체는 중국 일부 선박이 13일 밤부터 호르무즈 통과를 시작했다고 보도했다[77]. HMM의 1분기 실적은 중동 전쟁 여파로 56% 급감했다[80]. 삼성중공업은 LNG 운반선 2척을 7,505억 원 규모로 수주했으며[81][83], HD현대와 삼성중공업이 각각 LNG선 2척씩 나란히 계약을 체결했다[82]. 대한전선은 1만 톤급 해저케이블 포설선(CLV)을 추가 확보해 해저 턴키 경쟁력을 강화했다[85][86].</w:t>
      </w:r>
    </w:p>
    <w:p>
      <w:pPr>
        <w:pStyle w:val="Heading3"/>
      </w:pPr>
      <w:r>
        <w:t>물류  (HIGH 0 / MEDIUM 16)</w:t>
      </w:r>
    </w:p>
    <w:p>
      <w:r>
        <w:rPr>
          <w:b/>
        </w:rPr>
        <w:t>🇰🇷 국내 영향</w:t>
      </w:r>
    </w:p>
    <w:p>
      <w:r>
        <w:t>신한은행·삼성중공업·무역보험공사는 3,000억 원 규모의 특별보증을 추진해 K-조선 공급망을 지원하기로 했다[87]. 우리은행은 한화오션과 3,000억 원 규모의 상생금융 협약을 체결해 협력사 지원을 확대하기로 했다[88][91][92][94]. 하나은행은 HD현대중공업 협력사를 대상으로 4,000억 원 우대금융을 지원하기로 했으며[89][95], K-조선 수출 공급망 지원을 위한 1조 원 상생금융·15조 원 무역금융도 추진된다[96]. 금융권 전반에서 K-조선 상생 지원책이 잇따르고 있다[90].</w:t>
      </w:r>
    </w:p>
    <w:p>
      <w:pPr>
        <w:pStyle w:val="Heading3"/>
      </w:pPr>
      <w:r>
        <w:t>기타 산업  (HIGH 2 / MEDIUM 28)</w:t>
      </w:r>
    </w:p>
    <w:p>
      <w:r>
        <w:rPr>
          <w:b/>
        </w:rPr>
        <w:t>🌐 해외 상황</w:t>
      </w:r>
    </w:p>
    <w:p>
      <w:r>
        <w:t>미국의 에탄 수입이 이란 전쟁으로 경쟁 원료 공급이 줄면서 사상 최고치를 기록했다[97]. IEA에 따르면 호르무즈 공급 손실로 글로벌 원유 재고가 기록적 속도로 감소하고 있다[98]. 인도는 BRICS에 서아시아 위기로 인한 에너지 충격을 경고했으며[103], 남아프리카공화국 밀 농가들은 이란 전쟁 여파로 생산 감축을 검토하고 있다[104].</w:t>
      </w:r>
    </w:p>
    <w:p>
      <w:r>
        <w:rPr>
          <w:b/>
        </w:rPr>
        <w:t>🇰🇷 국내 영향</w:t>
      </w:r>
    </w:p>
    <w:p>
      <w:r>
        <w:t>중동 전쟁으로 농자재 가격이 폭등하면서 농민들의 우려가 커지고 있다[107]. 철강업계는 50년 만에 최악의 상황으로 연쇄 파산이 시작됐다는 보도가 나왔으며[108], 철강·석유화학 부진에 중동 리스크까지 겹쳐 포항·서산 지역 고용지원이 6개월 연장됐다[109]. 중동 사태로 인한 잉크 부족으로 일본 식품업체들이 인쇄 면적을 줄이고 있으며[111], 전남도는 나프타 원료 의료제품 수급에는 차질이 없다고 밝혔다[112]. 정부는 정유사 최고가격제 손실 보전 기준을 5월 말 확정하고 원가 기반 100% 보전 원칙을 적용할 방침이다[115][116].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99</w:t>
            </w:r>
          </w:p>
        </w:tc>
        <w:tc>
          <w:tcPr>
            <w:tcW w:type="dxa" w:w="2946"/>
          </w:tcPr>
          <w:p>
            <w:r>
              <w:t>3.3%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333</w:t>
            </w:r>
          </w:p>
        </w:tc>
        <w:tc>
          <w:tcPr>
            <w:tcW w:type="dxa" w:w="2946"/>
          </w:tcPr>
          <w:p>
            <w:r>
              <w:t>11.2%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464</w:t>
            </w:r>
          </w:p>
        </w:tc>
        <w:tc>
          <w:tcPr>
            <w:tcW w:type="dxa" w:w="2946"/>
          </w:tcPr>
          <w:p>
            <w:r>
              <w:t>15.6%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2078</w:t>
            </w:r>
          </w:p>
        </w:tc>
        <w:tc>
          <w:tcPr>
            <w:tcW w:type="dxa" w:w="2946"/>
          </w:tcPr>
          <w:p>
            <w:r>
              <w:t>69.9%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