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2026-10-26</w:t>
      </w:r>
    </w:p>
    <w:p>
      <w:pPr>
        <w:jc w:val="center"/>
      </w:pPr>
      <w:r>
        <w:rPr>
          <w:color w:val="808080"/>
          <w:sz w:val="18"/>
        </w:rPr>
        <w:t>생성 모델: claude-sonnet-4-6  |  HIGH+MEDIUM 210건 (해외 108건 / 국내 102건)</w:t>
      </w:r>
    </w:p>
    <w:p/>
    <w:p>
      <w:pPr>
        <w:pStyle w:val="Heading2"/>
      </w:pPr>
      <w:r>
        <w:t>오늘의 핵심</w:t>
      </w:r>
    </w:p>
    <w:p>
      <w:r>
        <w:t>호르무즈 해협에서 CENTCOM 사령관이 현지를 방문해 원유 수출이 하루 15억 배럴 이상 흐르고 있다고 밝혔으며[28], 미국은 이란 해상 기뢰가 없다고 공식 확인했다[5][73]. 그러나 후티 반군은 사우디 리야드 공항과 송유관을 공격했고[1], 사우디 주도 연합군과의 무력 충돌이 격화되고 있다[17][18]. 브렌트유는 후티 공격 여파로 배럴당 116.72달러, WTI는 103.27달러에 마감했으며[47], 국제유가가 6개월 만에 최고치를 기록하면서 한국 내 고물가 우려가 커지고 있다[61][62]. 사우디아라비아는 호르무즈 교란에 대비해 2027년부터 싱가포르에 원유 비축 허브를 구축할 계획을 발표했다[6][39]. 한국 코스피는 5,400선 아래로 후퇴해 6개월 반 만에 최저치를 기록했고[66], 골드만삭스는 코스피 목표치를 12,000에서 9,000으로 하향 조정했다[55]. 원·달러 환율은 1,310원대에 근접하며 명목실효환율이 2년 만에 최고치를 기록했다[57][64]. 울산 장생포항 정박 바지선에서 황산이 누출돼 11명 이상이 증세를 보였으며[40][45], 울산항 3분기 LNG 수입액은 전년 대비 58.1% 급증했다[41][42]. 컨테이너 운임은 5주 만에 소폭 반등해 전주 대비 20포인트 올랐고[33][34], BDI는 2,628로 32포인트 하락했다[27]. 스페인 산업 인플레이션은 페르시아만 에너지 비용 급등으로 18.3%에 달했으며[54], 인플레이션 선행 지표에 경고등이 켜졌다는 분석이 나왔다[53]. 선박 운항사들이 수에즈 운하 항로로 복귀하는 움직임이 포착됐다[72].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35건</w:t>
            </w:r>
          </w:p>
        </w:tc>
        <w:tc>
          <w:tcPr>
            <w:tcW w:type="dxa" w:w="2209"/>
          </w:tcPr>
          <w:p>
            <w:r>
              <w:t>▲13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15건</w:t>
            </w:r>
          </w:p>
        </w:tc>
        <w:tc>
          <w:tcPr>
            <w:tcW w:type="dxa" w:w="2209"/>
          </w:tcPr>
          <w:p>
            <w:r>
              <w:t>▼2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13건</w:t>
            </w:r>
          </w:p>
        </w:tc>
        <w:tc>
          <w:tcPr>
            <w:tcW w:type="dxa" w:w="2209"/>
          </w:tcPr>
          <w:p>
            <w:r>
              <w:t>▲6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12건</w:t>
            </w:r>
          </w:p>
        </w:tc>
        <w:tc>
          <w:tcPr>
            <w:tcW w:type="dxa" w:w="2209"/>
          </w:tcPr>
          <w:p>
            <w:r>
              <w:t>▼73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흑해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▼1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▲6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▼27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▼7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21 / MEDIUM 56)</w:t>
      </w:r>
    </w:p>
    <w:p>
      <w:r>
        <w:rPr>
          <w:b/>
        </w:rPr>
        <w:t>🌐 해외 상황</w:t>
      </w:r>
    </w:p>
    <w:p>
      <w:r>
        <w:t>후티 반군이 사우디 리야드 공항과 송유관을 공격했으며, 사우디 군은 예멘 내 미사일 터널을 파괴했다[1]. CENTCOM 사령관이 호르무즈 해협을 방문해 원유 수출이 하루 15억 배럴 이상 정상 흐르고 있다고 밝혔다[2][28]. 미국은 호르무즈 해협에 이란 해상 기뢰가 없다고 공식 확인했다[5]. 사우디아라비아는 호르무즈 교란에 대비해 2027년부터 싱가포르에 원유 비축 허브를 구축할 계획을 발표했다[6]. 말레이시아는 말라카 해협의 안전하고 안정적인 교역을 위해 보안을 강화했다고 밝혔다[7]. 인도는 러시아-우크라이나 분쟁 종식을 위해 에너지 인프라 보호와 흑해 해운 안전 확보를 포함한 제안을 내놓았다[3]. 우크라이나 위성 교란 사태가 현대전의 핵심 리스크로 부각됐으며[8], 이라크 알파우 인근 해상에서 선박 화재가 발생했다[9]. 예멘 타이즈에서는 후티-사우디 분쟁으로 인한 연료 부족으로 신생아 보온에 필요한 산소 공급이 차단되는 인도주의적 위기가 보고됐다[10]. 뉴질랜드 해사노조(MUNZ)는 연안 해운 및 해양 노동자 처우 개선에 대한 정당 지지를 환영했다[4].</w:t>
      </w:r>
    </w:p>
    <w:p>
      <w:r>
        <w:rPr>
          <w:b/>
        </w:rPr>
        <w:t>🇰🇷 국내 영향</w:t>
      </w:r>
    </w:p>
    <w:p>
      <w:r>
        <w:t>미군이 트럼프 대통령의 명령 시 96시간 내 이란 대규모 재공격이 가능한 상태라는 보도가 국내에서 5건 이상 집중 보도됐다[11][13]. 사우디·파키스탄·튀르키예 등 방위 동맹국들이 이란과 고위급 회동을 가졌다[14]. 이란 대사는 타국으로의 확전을 원하지 않는다고 밝혔으며, 한국 파병설에 대해서는 긴장을 높이는 행위라고 언급했다[20]. 젤렌스키 우크라이나 대통령은 11월 미·러·우크라 3자 실무회담 개최 가능성을 시사했다[12]. 흑해가 호르무즈보다 더 위험한 해역으로 올해 최소 40명이 사망했다는 분석이 국내에서 보도됐다[15]. 이란이 유조선 공격을 지속하는 가운데 미국이 호르무즈 기뢰 부재를 선언한 상황이 국내에서도 주목받았다[16]. 사우디 리야드 공항은 2주 만에 부분 재개됐으나 후티 반군은 여전히 공격 목표라고 밝혔다[18]. 국회에서는 원유 수입처 다변화를 위한 지원제도 개선이 필요하다는 주장이 제기됐다[19].</w:t>
      </w:r>
    </w:p>
    <w:p>
      <w:pPr>
        <w:pStyle w:val="Heading3"/>
      </w:pPr>
      <w:r>
        <w:t>해양안전  (HIGH 2 / MEDIUM 4)</w:t>
      </w:r>
    </w:p>
    <w:p>
      <w:r>
        <w:rPr>
          <w:b/>
        </w:rPr>
        <w:t>🌐 해외 상황</w:t>
      </w:r>
    </w:p>
    <w:p>
      <w:r>
        <w:t>이라크 알파우 인근 해상에서 선박 화재가 발생해 영국 해사무역기구(UKMTO)가 보고했다[21]. 루마니아 콘스탄차 항구에서는 선박 침몰 사고로 선원 9명이 구조됐다[22]. 벙커 연료 품질 경보가 발령돼 엔진 손상 및 수리 비용에 대한 우려가 제기됐다[23]. TUI 크루즈 여객선이 폭풍 중 컨테이너선과 충돌하는 사고가 발생했으며, 해당 선박에는 3,000명 이상이 탑승해 있었다[24]. 호르무즈 해협이 아닌 특정 해운 항로가 세계에서 가장 많은 선원 사망자를 낸 위험 항로로 지목됐다[25].</w:t>
      </w:r>
    </w:p>
    <w:p>
      <w:pPr>
        <w:pStyle w:val="Heading3"/>
      </w:pPr>
      <w:r>
        <w:t>운임·물류비  (HIGH 1 / MEDIUM 8)</w:t>
      </w:r>
    </w:p>
    <w:p>
      <w:r>
        <w:rPr>
          <w:b/>
        </w:rPr>
        <w:t>🌐 해외 상황</w:t>
      </w:r>
    </w:p>
    <w:p>
      <w:r>
        <w:t>BDI(발틱건화물지수)는 2,628로 전일 대비 32포인트 하락했다[27]. CENTCOM은 호르무즈 해협을 통한 원유 흐름이 하루 15억 배럴을 상회한다고 밝혔다[28]. 중국 저우산항이 아랍에미리트 푸자이라를 제치고 세계 3위 벙커링 항구로 부상했다[29]. 철광석 시장은 기록적인 운임과 철도 문제로 약세를 보이고 있다[30]. 건화물 부문은 다섯 가지 핵심 도전 과제에 직면해 있다고 분석됐다[31]. 러시아는 흑해 곡물 해운 보장을 위한 제안을 검토 중이라고 밝혔다[26].</w:t>
      </w:r>
    </w:p>
    <w:p>
      <w:r>
        <w:rPr>
          <w:b/>
        </w:rPr>
        <w:t>🇰🇷 국내 영향</w:t>
      </w:r>
    </w:p>
    <w:p>
      <w:r>
        <w:t>후티 공세에도 불구하고 원유 수급 차질은 제한적이나 연료·운송비 부담은 지속되고 있다[32]. 컨테이너 운임은 5주 만에 소폭 반등해 전주 대비 20포인트 상승했다[33]. 부산항발 컨테이너 운임도 한 주 만에 반등했으며, BDI는 5.9% 상승했다[34].</w:t>
      </w:r>
    </w:p>
    <w:p>
      <w:pPr>
        <w:pStyle w:val="Heading3"/>
      </w:pPr>
      <w:r>
        <w:t>항만·화물  (HIGH 4 / MEDIUM 12)</w:t>
      </w:r>
    </w:p>
    <w:p>
      <w:r>
        <w:rPr>
          <w:b/>
        </w:rPr>
        <w:t>🌐 해외 상황</w:t>
      </w:r>
    </w:p>
    <w:p>
      <w:r>
        <w:t>스리랑카 함반토타 LPG 터미널의 지분 매각이 검토되고 있다[36]. 싱가포르 연료유 재고는 순수입 증가에도 불구하고 6% 감소했다[38]. 사우디아라비아는 아시아 공급 안보 강화를 위해 싱가포르에 원유를 비축할 계획이다[39]. 한 국가 정부가 BP 싱가포르 및 카타르로부터 LNG 화물 6건을 추가 구매할 예정이다[35].</w:t>
      </w:r>
    </w:p>
    <w:p>
      <w:r>
        <w:rPr>
          <w:b/>
        </w:rPr>
        <w:t>🇰🇷 국내 영향</w:t>
      </w:r>
    </w:p>
    <w:p>
      <w:r>
        <w:t>울산 장생포항에 정박한 바지선에서 황산이 누출돼 11명 이상이 증세를 보였으며 작업자 10명이 이송됐다[40][45][46]. 울산항 3분기 LNG 수입액은 전년 대비 58.1% 급증했으며, 단가 상승이 주된 원인으로 분석됐다[41][42]. 새만금 신항 개항이 관할권 문제 여파로 내년 8월로 연기됐다[43]. 해양수산부는 비상시 항만 운영 협약업체를 77곳으로 확대했다[44].</w:t>
      </w:r>
    </w:p>
    <w:p>
      <w:pPr>
        <w:pStyle w:val="Heading3"/>
      </w:pPr>
      <w:r>
        <w:t>경제·금융  (HIGH 3 / MEDIUM 65)</w:t>
      </w:r>
    </w:p>
    <w:p>
      <w:r>
        <w:rPr>
          <w:b/>
        </w:rPr>
        <w:t>🌐 해외 상황</w:t>
      </w:r>
    </w:p>
    <w:p>
      <w:r>
        <w:t>브렌트유는 후티의 사우디 공격 여파로 배럴당 116.72달러에 마감했으며, WTI는 103.27달러를 기록했다[47]. 브렌트유는 중동 긴장 속에 배럴당 115달러에서 거래되고 있다[49]. 스페인 산업 인플레이션은 페르시아만 에너지 비용 급등으로 18.3%에 달했다[54]. 인플레이션 선행 지표에 경고등이 켜졌다는 분석이 나왔다[53]. 인도 센섹스 지수는 유가 상승과 서아시아 긴장으로 134포인트 하락하며 니프티가 22,600선 아래로 떨어졌다[48]. 골드만삭스는 한국 코스피 목표치를 12,000에서 9,000으로 하향 조정했다[55]. 대두 선물은 2개월 만에 최저치를 기록했고[50], 밀 가격은 15주 만에 최저 수준을 유지했다[52]. 미국 굴착기 수는 안정세를 유지했다[51].</w:t>
      </w:r>
    </w:p>
    <w:p>
      <w:r>
        <w:rPr>
          <w:b/>
        </w:rPr>
        <w:t>🇰🇷 국내 영향</w:t>
      </w:r>
    </w:p>
    <w:p>
      <w:r>
        <w:t>코스피는 외국인 매도세에 5,400선 아래로 후퇴해 6개월 반 만에 최저치를 기록했다[66][58]. 골드만삭스가 코스피 목표치를 9,000으로 하향 조정한 가운데 삼성전자는 1% 하락하고 SK하이닉스도 약보합으로 전환됐다[55][60]. 원·달러 환율은 1,310원대에 근접하며 명목실효환율이 2년 만에 최고치를 기록했고[57], 환율 변동폭이 11년 만에 최대 수준인 1,561원에서 1,321원 사이를 오갔다[64]. 중동발 유가 급등으로 국제유가가 6개월 만에 최고치를 기록하면서 물가 불안이 재점화되고 한국 경제에 복합 위기 경고등이 켜졌다[61][62].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🌐 해외 상황</w:t>
      </w:r>
    </w:p>
    <w:p>
      <w:r>
        <w:t>주요 수산물 상품에 대한 44주차 시장 동향 업데이트가 발표됐다[67].</w:t>
      </w:r>
    </w:p>
    <w:p>
      <w:pPr>
        <w:pStyle w:val="Heading3"/>
      </w:pPr>
      <w:r>
        <w:t>해운  (HIGH 0 / MEDIUM 16)</w:t>
      </w:r>
    </w:p>
    <w:p>
      <w:r>
        <w:rPr>
          <w:b/>
        </w:rPr>
        <w:t>🌐 해외 상황</w:t>
      </w:r>
    </w:p>
    <w:p>
      <w:r>
        <w:t>일부 선사들이 수에즈 운하 항로로 복귀하는 움직임이 포착됐다[72]. CENTCOM은 호르무즈 해협을 통한 선박 통항이 안전하게 이루어지고 있다고 밝혔다[73]. 루마니아 콘스탄차 항구를 통한 해운이 흑해 공격 이후 안정세를 되찾고 있다[69]. 사우디 해운사 바흐리(Bahri)와 IMI가 VLCC 3척 신조 계약을 16억 9,200만 사우디 리얄에 체결했다[70]. LNG 해운 시장이 회복세를 보이고 있다[71]. 호주 뉴캐슬항은 새로운 태즈만해 횡단 해운 서비스를 통해 다각화를 추진하고 있다[68].</w:t>
      </w:r>
    </w:p>
    <w:p>
      <w:r>
        <w:rPr>
          <w:b/>
        </w:rPr>
        <w:t>🇰🇷 국내 영향</w:t>
      </w:r>
    </w:p>
    <w:p>
      <w:r>
        <w:t>HD현대마린솔루션은 3분기 매출 6,501억 원을 기록해 전년 대비 27% 증가했으며, 3분기 누적 매출은 1조 8,000억 원에 달했다[74][77][79]. 영업이익은 957억 원으로 전년 동기 대비 2.2% 증가했다[80]. 선박 수리·부품 부문이 7분기 연속 최고치를 기록했으며, AM(애프터마켓)과 벙커링이 성장을 견인했다[77][78]. 세계 해사의 날 기념식이 부산에서 개막해 해운·조선 리더들이 집결했다[75][81]. K조선이 미국 시장 진출을 가속화하고 있다[76].</w:t>
      </w:r>
    </w:p>
    <w:p>
      <w:pPr>
        <w:pStyle w:val="Heading3"/>
      </w:pPr>
      <w:r>
        <w:t>물류  (HIGH 0 / MEDIUM 2)</w:t>
      </w:r>
    </w:p>
    <w:p>
      <w:r>
        <w:rPr>
          <w:b/>
        </w:rPr>
        <w:t>🌐 해외 상황</w:t>
      </w:r>
    </w:p>
    <w:p>
      <w:r>
        <w:t>나이지리아는 자국 해운 육성 실패로 90억 달러의 화물 손실이 발생했다는 분석이 나왔다[82]. 영국에서 화물열차 탈선으로 수일간 철도 운행이 차질을 빚었다[83].</w:t>
      </w:r>
    </w:p>
    <w:p>
      <w:pPr>
        <w:pStyle w:val="Heading3"/>
      </w:pPr>
      <w:r>
        <w:t>기타 산업  (HIGH 0 / MEDIUM 15)</w:t>
      </w:r>
    </w:p>
    <w:p>
      <w:r>
        <w:rPr>
          <w:b/>
        </w:rPr>
        <w:t>🌐 해외 상황</w:t>
      </w:r>
    </w:p>
    <w:p>
      <w:r>
        <w:t>미국 농무부(USDA)가 13억 달러 규모의 비료 투자를 발표했으며, 100만 톤 생산 능력을 목표로 하는 비료 프로젝트를 추진 중이다[84][88]. WTO는 아프리카 8개 경제권이 걸프 지역 비료 공급 교란에 취약하다고 밝혔다[85]. 방글라데시 아슈간지 비료 공장은 가스 부족으로 1년 반째 가동이 중단된 상태다[90]. 흑해 공격으로 우크라이나의 인도네시아·방글라데시향 밀 수출이 차질을 빚고 있다[91]. 오만의 원유 생산량은 1~9월 기준 3억 500만 배럴로 12.3% 증가했다[87]. 철광석 시장은 중국과 호주 광산업체 간 갈등 속에 압박을 받고 있다[86][93]. 파키스탄 쌍둥이 도시에서는 가스 부족으로 LPG 가격이 상승하며 대체 연료 사용이 늘고 있다[92]. 터키는 석유·해운 교란을 계기로 재생에너지 전환에 속도를 내고 있다[89].</w:t>
      </w:r>
    </w:p>
    <w:p>
      <w:r>
        <w:rPr>
          <w:b/>
        </w:rPr>
        <w:t>🇰🇷 국내 영향</w:t>
      </w:r>
    </w:p>
    <w:p>
      <w:r>
        <w:t>넥센타이어는 고유가와 원가 강세로 3분기 영업이익이 감소했다[94]. LG화학발 플라스틱 가격 인상이 연말 물가에 영향을 줄 수 있다는 우려가 제기됐다[95]. 중국의 배터리·흑연 수출통제 유예가 11월 10일 만료되는 가운데 연장 공고가 아직 없어 국내 배터리 업계의 불확실성이 높아지고 있다[96].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2068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31</w:t>
            </w:r>
          </w:p>
        </w:tc>
        <w:tc>
          <w:tcPr>
            <w:tcW w:type="dxa" w:w="2946"/>
          </w:tcPr>
          <w:p>
            <w:r>
              <w:t>1.5%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179</w:t>
            </w:r>
          </w:p>
        </w:tc>
        <w:tc>
          <w:tcPr>
            <w:tcW w:type="dxa" w:w="2946"/>
          </w:tcPr>
          <w:p>
            <w:r>
              <w:t>8.7%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360</w:t>
            </w:r>
          </w:p>
        </w:tc>
        <w:tc>
          <w:tcPr>
            <w:tcW w:type="dxa" w:w="2946"/>
          </w:tcPr>
          <w:p>
            <w:r>
              <w:t>17.4%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1498</w:t>
            </w:r>
          </w:p>
        </w:tc>
        <w:tc>
          <w:tcPr>
            <w:tcW w:type="dxa" w:w="2946"/>
          </w:tcPr>
          <w:p>
            <w:r>
              <w:t>72.4%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