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2026-04-13</w:t>
      </w:r>
    </w:p>
    <w:p>
      <w:pPr>
        <w:jc w:val="center"/>
      </w:pPr>
      <w:r>
        <w:rPr>
          <w:color w:val="808080"/>
          <w:sz w:val="18"/>
        </w:rPr>
        <w:t>생성 모델: claude-sonnet-4-6  |  HIGH+MEDIUM 747건 (해외 383건 / 국내 364건)</w:t>
      </w:r>
    </w:p>
    <w:p/>
    <w:p>
      <w:pPr>
        <w:pStyle w:val="Heading2"/>
      </w:pPr>
      <w:r>
        <w:t>오늘의 핵심</w:t>
      </w:r>
    </w:p>
    <w:p>
      <w:r>
        <w:t>트럼프 행정부가 호르무즈 해협 역봉쇄를 공식 개시하면서 선박 통항이 사실상 중단되고 국제유가가 배럴당 102달러를 돌파하며 8% 이상 급등했다. NATO는 봉쇄 참여를 거부했고 UN 해사기구 수장은 어떤 국가도 호르무즈를 폐쇄할 권리가 없다고 밝혔으며, 영국·프랑스는 항행 자유 보장을 위한 국제회의 개최를 예고했다. 이란은 '투쟁'을 예고하며 100만 명 병력 배치를 언급했고, 미국은 이란 고속정 접근 시 즉각 제거 방침을 천명해 무력 충돌 위험이 고조되고 있다. 사우디아라비아의 대중국 원유 수출이 다음 달 절반 수준으로 줄어들 것으로 보이며, 사우디 산유량은 23%, 이라크는 61% 감소한 것으로 보도됐다. 한국은 카자흐스탄 원유 확보에 임박한 것으로 전해졌고, 산업은행·수출입은행이 석유공사의 원유 확보를 위해 30억 달러 지원에 나섰으며, 산업부 장관은 비축유 방출 없이 4~5월을 넘길 수 있다고 밝혔다.</w:t>
      </w:r>
    </w:p>
    <w:p/>
    <w:p>
      <w:pPr>
        <w:pStyle w:val="Heading2"/>
      </w:pPr>
      <w:r>
        <w:t>카테고리별 분석</w:t>
      </w:r>
    </w:p>
    <w:p>
      <w:pPr>
        <w:pStyle w:val="Heading3"/>
      </w:pPr>
      <w:r>
        <w:t>안보·군사  (HIGH 267 / MEDIUM 164)</w:t>
      </w:r>
    </w:p>
    <w:p>
      <w:r>
        <w:rPr>
          <w:b/>
        </w:rPr>
        <w:t>🌐 해외 상황</w:t>
      </w:r>
    </w:p>
    <w:p>
      <w:r>
        <w:t>트럼프 대통령이 미군의 이란 항구 봉쇄 개시를 공식 발표했으며, 이란 고속정 접근 시 즉각 제거 방침을 천명했다. 이란은 '심각한 대응'과 100만 명 병력 배치를 경고하며 미국의 봉쇄를 '해적 행위'로 규정했다. NATO는 호르무즈 봉쇄에 대한 역할 참여를 공식 거부했고, UN 해사기구 수장은 어떤 국가도 호르무즈를 폐쇄할 권리가 없다고 선언했다. 영국·프랑스는 호르무즈 해협 항행 자유 보장을 위한 국제회의를 조만간 개최할 예정이며, 유럽은 트럼프의 역봉쇄에 우회적 비판을 표명했다. 트럼프의 봉쇄가 중국과의 전면전 위험을 높인다는 분석도 제기됐다.</w:t>
      </w:r>
    </w:p>
    <w:p>
      <w:r>
        <w:rPr>
          <w:b/>
        </w:rPr>
        <w:t>🇰🇷 국내 영향</w:t>
      </w:r>
    </w:p>
    <w:p>
      <w:r>
        <w:t>한국 외교부 장관은 캐나다 외교장관과 통화를 갖고 중동 정세 및 호르무즈 항행 자유 보장 방안을 논의했다. 걸프 지역 국가들이 이란 공격 이후 한국산 요격 미사일 도입을 확대하고 있다는 보도가 나왔다. 호르무즈 통행료 문제와 관련해 한국의 대응 전략 필요성을 지적하는 국내 언론 논평도 등장했다.</w:t>
      </w:r>
    </w:p>
    <w:p>
      <w:pPr>
        <w:pStyle w:val="Heading3"/>
      </w:pPr>
      <w:r>
        <w:t>운임·물류비  (HIGH 3 / MEDIUM 6)</w:t>
      </w:r>
    </w:p>
    <w:p>
      <w:r>
        <w:rPr>
          <w:b/>
        </w:rPr>
        <w:t>🌐 해외 상황</w:t>
      </w:r>
    </w:p>
    <w:p>
      <w:r>
        <w:t>호르무즈 봉쇄 발표 이후 유조선들이 해협 진입을 회피하며 대거 후퇴하는 움직임이 포착됐다. 인도 바스마티 쌀 수출 관련 루디아나 수출업체들은 운임이 1,000% 급등하는 충격을 받은 것으로 보도됐다. 발틱건화물운임지수(BDI)가 강세를 보이며 재활용업계에 역풍으로 작용하고 있다는 분석이 나왔다. 파나마 운하 제약 문제도 여전히 해소되지 않은 상태로 보도됐다.</w:t>
      </w:r>
    </w:p>
    <w:p>
      <w:r>
        <w:rPr>
          <w:b/>
        </w:rPr>
        <w:t>🇰🇷 국내 영향</w:t>
      </w:r>
    </w:p>
    <w:p>
      <w:r>
        <w:t>희망봉 우회 항로 이용 시 한국 기업의 물류비가 건당 100만 달러 증가하는 것으로 보도됐다. 중동발 트리플 쇼크에 대응해 코레일이 대체 물류 경로 확보에 나선 것으로 전해졌다. 5월 항공 유류할증료가 중동 사태 여파로 급등해 항공 여행 비용이 크게 오른 것으로 보도됐다.</w:t>
      </w:r>
    </w:p>
    <w:p>
      <w:pPr>
        <w:pStyle w:val="Heading3"/>
      </w:pPr>
      <w:r>
        <w:t>항만·화물  (HIGH 3 / MEDIUM 5)</w:t>
      </w:r>
    </w:p>
    <w:p>
      <w:r>
        <w:rPr>
          <w:b/>
        </w:rPr>
        <w:t>🌐 해외 상황</w:t>
      </w:r>
    </w:p>
    <w:p>
      <w:r>
        <w:t>인도 국적 LPG 운반선 'Jag Vikram'(2만400MT 적재)이 호르무즈 통과 후 칸들라항에 내일 도착 예정이라고 인도 해운부가 밝혔다. 중국 유조선들이 이란의 '통행료 부스'를 경유해 호르무즈를 탈출하는 움직임이 포착됐다.</w:t>
      </w:r>
    </w:p>
    <w:p>
      <w:r>
        <w:rPr>
          <w:b/>
        </w:rPr>
        <w:t>🇰🇷 국내 영향</w:t>
      </w:r>
    </w:p>
    <w:p>
      <w:r>
        <w:t>산업은행과 수출입은행이 한국석유공사의 원유 확보를 위해 30억 달러 지원에 나섰다. 사우디아라비아의 대중국 원유 수출이 다음 달 절반 수준으로 줄어들 것으로 보도됐으며, 한국의 카자흐스탄 원유 확보가 임박한 것으로 전해졌다. 산업부 장관은 비축유 방출 없이 4~5월을 넘길 수 있다는 입장을 밝혔다. 한국 실소유 유조선이 원유 없이 페르시아만에 진입해 호르무즈를 통과한 것으로 보도됐다.</w:t>
      </w:r>
    </w:p>
    <w:p>
      <w:pPr>
        <w:pStyle w:val="Heading3"/>
      </w:pPr>
      <w:r>
        <w:t>경제·금융  (HIGH 61 / MEDIUM 149)</w:t>
      </w:r>
    </w:p>
    <w:p>
      <w:r>
        <w:rPr>
          <w:b/>
        </w:rPr>
        <w:t>🌐 해외 상황</w:t>
      </w:r>
    </w:p>
    <w:p>
      <w:r>
        <w:t>트럼프의 호르무즈 봉쇄 발표 이후 국제유가가 배럴당 102달러를 돌파하며 약 7~8% 급등했다. 미국-이란 협상 결렬 소식도 유가 추가 상승을 자극했으며, 영국 천연가스 가격은 11.7% 급등한 것으로 보도됐다. 뉴욕 증시는 유가 급등에도 혼조세를 보였다.</w:t>
      </w:r>
    </w:p>
    <w:p>
      <w:r>
        <w:rPr>
          <w:b/>
        </w:rPr>
        <w:t>🇰🇷 국내 영향</w:t>
      </w:r>
    </w:p>
    <w:p>
      <w:r>
        <w:t>국제유가가 100달러를 재돌파하면서 한국 경제에 대한 고유가 충격 우려가 커지고 있다. 트럼프는 가을까지 유가가 더 오를 수 있다고 인정했고, 이란도 현재 가격을 즐기라며 추가 상승을 경고했다. KB증권은 호르무즈 사태 장기화 시 한국 정유사의 원유 블렌딩 경쟁력이 부각될 것으로 분석했다. 천연가스 가격도 18% 폭등한 것으로 국내 언론이 보도했다.</w:t>
      </w:r>
    </w:p>
    <w:p>
      <w:pPr>
        <w:pStyle w:val="Heading3"/>
      </w:pPr>
      <w:r>
        <w:t>수산물  (HIGH 0 / MEDIUM 1)</w:t>
      </w:r>
    </w:p>
    <w:p>
      <w:r>
        <w:rPr>
          <w:b/>
        </w:rPr>
        <w:t>🇰🇷 국내 영향</w:t>
      </w:r>
    </w:p>
    <w:p>
      <w:r>
        <w:t>어업용 면세유 가격이 50% 폭등하면서 어민들이 조업을 해도 수익이 남지 않는다고 호소하는 것으로 보도됐다.</w:t>
      </w:r>
    </w:p>
    <w:p>
      <w:pPr>
        <w:pStyle w:val="Heading3"/>
      </w:pPr>
      <w:r>
        <w:t>해운  (HIGH 9 / MEDIUM 12)</w:t>
      </w:r>
    </w:p>
    <w:p>
      <w:r>
        <w:rPr>
          <w:b/>
        </w:rPr>
        <w:t>🌐 해외 상황</w:t>
      </w:r>
    </w:p>
    <w:p>
      <w:r>
        <w:t>호르무즈 해협의 선박 통항이 사실상 중단된 것으로 복수의 미국 언론이 실시간 업데이트를 통해 보도했다. 파키스탄 상선은 초기 통과 거부 후 허가를 받은 것으로 전해졌으며, 미 군함이 이란 전쟁 이후 처음으로 호르무즈를 통과했다는 보도도 나왔다. 중국 유조선들은 이란의 통행료 부스를 경유해 해협을 빠져나가는 움직임이 포착됐다.</w:t>
      </w:r>
    </w:p>
    <w:p>
      <w:r>
        <w:rPr>
          <w:b/>
        </w:rPr>
        <w:t>🇰🇷 국내 영향</w:t>
      </w:r>
    </w:p>
    <w:p>
      <w:r>
        <w:t>한국 실소유 유조선이 호르무즈를 통과한 것으로 보도됐으며, 다수의 선박들이 뱃머리를 돌려 우회 항로를 택하고 있다. 속초~블라디보스토크 카페리 운항이 잠정 중단됐다. 한진의 2026년 1분기 영업이익이 169억 원으로 전년 대비 38% 감소했다. 해양진흥공사는 해운 위기 대응 펀드 설명회를 개최했으며, HMM은 MSCI ESG 평가에서 'AA' 등급을 획득해 글로벌 선사 중 최고 수준을 기록했다.</w:t>
      </w:r>
    </w:p>
    <w:p>
      <w:pPr>
        <w:pStyle w:val="Heading3"/>
      </w:pPr>
      <w:r>
        <w:t>물류  (HIGH 0 / MEDIUM 3)</w:t>
      </w:r>
    </w:p>
    <w:p>
      <w:r>
        <w:rPr>
          <w:b/>
        </w:rPr>
        <w:t>🇰🇷 국내 영향</w:t>
      </w:r>
    </w:p>
    <w:p>
      <w:r>
        <w:t>공급망 위기에 대응해 기업 현장점검이 진행되고 있으며 차질 없는 관리가 최우선 과제로 제시됐다. 대외경제협력기금이 재편되어 AI·문화·공급망 분야에 3년간 9조 원이 투입될 예정이다. 조선업 금융 지원 관련 은행권의 소극적 태도가 조선업 경쟁력에 부담을 주고 있다는 지적이 나왔다.</w:t>
      </w:r>
    </w:p>
    <w:p>
      <w:pPr>
        <w:pStyle w:val="Heading3"/>
      </w:pPr>
      <w:r>
        <w:t>기타 산업  (HIGH 8 / MEDIUM 55)</w:t>
      </w:r>
    </w:p>
    <w:p>
      <w:r>
        <w:rPr>
          <w:b/>
        </w:rPr>
        <w:t>🌐 해외 상황</w:t>
      </w:r>
    </w:p>
    <w:p>
      <w:r>
        <w:t>OPEC의 3월 원유 생산량이 중동 혼란으로 790만 배럴/일 감소한 것으로 보도됐다. 이란 협상 결렬 이후 아시아가 가스 부족 사태에 직면할 것이라는 우려가 제기됐으며, 호주는 이란 전쟁에 따른 요소 공급 위험에 대응해 확보 조치에 나섰다. 중동 분쟁이 아시아 염소알칼리·비닐 공급망을 교란하고 있으며, 대만에서는 에너지 충격으로 석유화학 가격이 급등하고 있다.</w:t>
      </w:r>
    </w:p>
    <w:p>
      <w:r>
        <w:rPr>
          <w:b/>
        </w:rPr>
        <w:t>🇰🇷 국내 영향</w:t>
      </w:r>
    </w:p>
    <w:p>
      <w:r>
        <w:t>사우디 산유량이 23%, 이라크 산유량이 61% 감소한 것으로 보도되면서 한국의 중동산 원유 의존도에 대한 우려가 커지고 있다. 울산 제조업이 중동 여파로 급랭하며 코로나 이후 최악의 상황이라는 평가가 나왔다. 아시아 LNG 수입이 급감하고 걸프 수출 차질로 가격이 급등하면서 한국 에너지 수급에도 영향이 불가피한 것으로 보인다. 브롬 98%, 헬륨 65% 등 8대 품목의 중동 의존도가 절대적인 수준임이 재확인됐으며, 여수 석유화학 업계 일용직 노동자에 대한 긴급 지원이 시작됐다.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2442</w:t>
            </w:r>
          </w:p>
        </w:tc>
        <w:tc>
          <w:tcPr>
            <w:tcW w:type="dxa" w:w="2946"/>
          </w:tcPr>
          <w:p>
            <w:r>
              <w:t>100.0%</w:t>
            </w:r>
          </w:p>
        </w:tc>
      </w:tr>
      <w:tr>
        <w:tc>
          <w:tcPr>
            <w:tcW w:type="dxa" w:w="2946"/>
          </w:tcPr>
          <w:p>
            <w:r>
              <w:t>HIGH</w:t>
            </w:r>
          </w:p>
        </w:tc>
        <w:tc>
          <w:tcPr>
            <w:tcW w:type="dxa" w:w="2946"/>
          </w:tcPr>
          <w:p>
            <w:r>
              <w:t>351</w:t>
            </w:r>
          </w:p>
        </w:tc>
        <w:tc>
          <w:tcPr>
            <w:tcW w:type="dxa" w:w="2946"/>
          </w:tcPr>
          <w:p>
            <w:r>
              <w:t>14.4%</w:t>
            </w:r>
          </w:p>
        </w:tc>
      </w:tr>
      <w:tr>
        <w:tc>
          <w:tcPr>
            <w:tcW w:type="dxa" w:w="2946"/>
          </w:tcPr>
          <w:p>
            <w:r>
              <w:t>MEDIUM</w:t>
            </w:r>
          </w:p>
        </w:tc>
        <w:tc>
          <w:tcPr>
            <w:tcW w:type="dxa" w:w="2946"/>
          </w:tcPr>
          <w:p>
            <w:r>
              <w:t>396</w:t>
            </w:r>
          </w:p>
        </w:tc>
        <w:tc>
          <w:tcPr>
            <w:tcW w:type="dxa" w:w="2946"/>
          </w:tcPr>
          <w:p>
            <w:r>
              <w:t>16.2%</w:t>
            </w:r>
          </w:p>
        </w:tc>
      </w:tr>
      <w:tr>
        <w:tc>
          <w:tcPr>
            <w:tcW w:type="dxa" w:w="2946"/>
          </w:tcPr>
          <w:p>
            <w:r>
              <w:t>LOW</w:t>
            </w:r>
          </w:p>
        </w:tc>
        <w:tc>
          <w:tcPr>
            <w:tcW w:type="dxa" w:w="2946"/>
          </w:tcPr>
          <w:p>
            <w:r>
              <w:t>315</w:t>
            </w:r>
          </w:p>
        </w:tc>
        <w:tc>
          <w:tcPr>
            <w:tcW w:type="dxa" w:w="2946"/>
          </w:tcPr>
          <w:p>
            <w:r>
              <w:t>12.9%</w:t>
            </w:r>
          </w:p>
        </w:tc>
      </w:tr>
      <w:tr>
        <w:tc>
          <w:tcPr>
            <w:tcW w:type="dxa" w:w="2946"/>
          </w:tcPr>
          <w:p>
            <w:r>
              <w:t>NONE</w:t>
            </w:r>
          </w:p>
        </w:tc>
        <w:tc>
          <w:tcPr>
            <w:tcW w:type="dxa" w:w="2946"/>
          </w:tcPr>
          <w:p>
            <w:r>
              <w:t>1380</w:t>
            </w:r>
          </w:p>
        </w:tc>
        <w:tc>
          <w:tcPr>
            <w:tcW w:type="dxa" w:w="2946"/>
          </w:tcPr>
          <w:p>
            <w:r>
              <w:t>56.5%</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