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해상 공급망 모니터링 일일 분석 — 2026-07-15</w:t>
      </w:r>
    </w:p>
    <w:p>
      <w:pPr>
        <w:jc w:val="center"/>
      </w:pPr>
      <w:r>
        <w:rPr>
          <w:color w:val="808080"/>
          <w:sz w:val="18"/>
        </w:rPr>
        <w:t>생성 모델: claude-sonnet-4-6  |  HIGH+MEDIUM 457건 (해외 283건 / 국내 174건)</w:t>
      </w:r>
    </w:p>
    <w:p/>
    <w:p>
      <w:pPr>
        <w:pStyle w:val="Heading2"/>
      </w:pPr>
      <w:r>
        <w:t>오늘의 핵심</w:t>
      </w:r>
    </w:p>
    <w:p>
      <w:r>
        <w:t>미군이 닷새 연속 이란 미사일 시설을 타격하고 해상 봉쇄를 재개하면서 미·이란 무력 충돌이 격화되고 있다[11][15][17]. 이란은 중동 에너지 수출 전면 중단을 위협하고 추가 해상 요충지 봉쇄 가능성을 시사했으며[1][8][9], 호르무즈 해협 통항량이 감소하는 등 실질적 물류 교란이 나타나고 있다[27]. 트럼프 행정부가 호르무즈 해협 통과 선박에 20% 통행료 부과 방침을 발표했다가 하루 만에 철회하는 등 정책 혼선이 이어졌다[28][33][34]. 국제유가는 브렌트유 기준 85달러를 돌파했으며, 골드만삭스는 페르시아만 마비 시 브렌트유가 110달러를 초과할 수 있다고 전망했다[50][59]. LNG 운송 차질로 글로벌 가스 가격이 재상승하고 있으며[46], 국내 정유주는 정제마진 상승 기대로 강세를 보이고 있다[89].</w:t>
      </w:r>
    </w:p>
    <w:p/>
    <w:p>
      <w:pPr>
        <w:pStyle w:val="Heading2"/>
      </w:pPr>
      <w:r>
        <w:t>카테고리별 분석</w:t>
      </w:r>
    </w:p>
    <w:p>
      <w:pPr>
        <w:pStyle w:val="Heading3"/>
      </w:pPr>
      <w:r>
        <w:t>안보·군사  (HIGH 190 / MEDIUM 115)</w:t>
      </w:r>
    </w:p>
    <w:p>
      <w:r>
        <w:rPr>
          <w:b/>
        </w:rPr>
        <w:t>🌐 해외 상황</w:t>
      </w:r>
    </w:p>
    <w:p>
      <w:r>
        <w:t>미군은 닷새 연속 이란 미사일 시설 및 해안 방어 시스템을 타격했으며, 미 중부사령부는 이번 작전이 호르무즈 해협에 대한 이란의 공격 능력을 약화시키기 위한 것이라고 밝혔다[2][6][7]. 트럼프 대통령은 합의가 이루어지지 않을 경우 교량·발전소 등 민간 인프라 공격을 위협했다[3][10]. 이란은 미국의 해상 봉쇄 재개와 공습 강화에 대응해 중동 에너지 수출 중단 및 추가 해상 요충지 봉쇄를 위협하고 있다[1][8][9]. 미·이란 양측의 보복 공격이 반복되며 출구 없는 군사적 충돌이 격화되고 있는 상황이다[14].</w:t>
      </w:r>
    </w:p>
    <w:p>
      <w:r>
        <w:rPr>
          <w:b/>
        </w:rPr>
        <w:t>🇰🇷 국내 영향</w:t>
      </w:r>
    </w:p>
    <w:p>
      <w:r>
        <w:t>미 중부사령부는 이란 해안 방어 시스템 및 미사일 시설 타격 사실을 공개했으며, 한국 언론은 90분간의 타격 작전 내용을 상세히 보도했다[11][20]. 미군의 닷새 연속 공습이 대낮 작전으로 확대되는 등 공세가 강화되고 있다[15][16][18]. 한성숙 관련 기관은 중동 리스크 대응에 총력을 기울이고 있는 것으로 보도됐다[12]. 부셰르 원전 인근에도 공습이 이어지는 등 이란 핵 시설 주변까지 타격 범위가 확대되고 있다[19].</w:t>
      </w:r>
    </w:p>
    <w:p>
      <w:pPr>
        <w:pStyle w:val="Heading3"/>
      </w:pPr>
      <w:r>
        <w:t>해양안전  (HIGH 0 / MEDIUM 4)</w:t>
      </w:r>
    </w:p>
    <w:p>
      <w:r>
        <w:rPr>
          <w:b/>
        </w:rPr>
        <w:t>🌐 해외 상황</w:t>
      </w:r>
    </w:p>
    <w:p>
      <w:r>
        <w:t>소말리아 해적에 억류된 선박 3척의 석방을 위한 협상이 진행 중이며, 싱가포르 소재 해양 센터가 이를 확인했다[21]. 인도 정부는 걸프 지역 내 모든 인도 선원의 개별 소재 파악에 나섰다[22]. 인도 케랄라 고등법원은 MSC Elsa 3 난파선의 위험 화물 위협과 관련해 국방부에 보고서 제출을 명령했다[23].</w:t>
      </w:r>
    </w:p>
    <w:p>
      <w:r>
        <w:rPr>
          <w:b/>
        </w:rPr>
        <w:t>🇰🇷 국내 영향</w:t>
      </w:r>
    </w:p>
    <w:p>
      <w:r>
        <w:t>제주 애월항에서 계류 중이던 어선이 전복되며 기름이 유출되는 사고가 발생했다[24].</w:t>
      </w:r>
    </w:p>
    <w:p>
      <w:pPr>
        <w:pStyle w:val="Heading3"/>
      </w:pPr>
      <w:r>
        <w:t>운임·물류비  (HIGH 10 / MEDIUM 11)</w:t>
      </w:r>
    </w:p>
    <w:p>
      <w:r>
        <w:rPr>
          <w:b/>
        </w:rPr>
        <w:t>🌐 해외 상황</w:t>
      </w:r>
    </w:p>
    <w:p>
      <w:r>
        <w:t>트럼프 행정부는 호르무즈 해협 통과 선박에 20% 통행료를 부과하는 방안을 발표했으나 하루 만에 철회했으며[28][33], 이 과정에서 참모진도 사전에 인지하지 못한 것으로 알려졌다[42]. 미·이란 간 교전이 지속되면서 호르무즈 해협 통항량이 감소하고 있다[27]. 우크라이나의 아조우해 공격으로 러시아가 호르무즈 해협과 유사한 초크포인트 위기에 직면했으며, 116척의 선박이 피해를 입은 것으로 보도됐다[30][31]. 사우디아라비아 얀부 항구의 원유 선적량은 하우시 긴장 속에서도 최대치에 근접한 수준을 유지하고 있다[26].</w:t>
      </w:r>
    </w:p>
    <w:p>
      <w:r>
        <w:rPr>
          <w:b/>
        </w:rPr>
        <w:t>🇰🇷 국내 영향</w:t>
      </w:r>
    </w:p>
    <w:p>
      <w:r>
        <w:t>트럼프의 호르무즈 20% 통항료 발표가 하루 만에 번복되면서 정책 혼선이 이어지고 있으며, 국내 언론은 이를 '트럼프식 변덕'으로 집중 보도했다[34][35][38][41][42]. 미국이 해상 봉쇄를 재개하면서 통항료 정책은 철회됐으나 해협 통제 불확실성은 지속되고 있다[37]. 트럼프는 통행료 대신 중동 국가들의 대미 투자 협정을 추진하는 방향으로 선회한 것으로 보도됐다[40][43].</w:t>
      </w:r>
    </w:p>
    <w:p>
      <w:pPr>
        <w:pStyle w:val="Heading3"/>
      </w:pPr>
      <w:r>
        <w:t>항만·화물  (HIGH 2 / MEDIUM 3)</w:t>
      </w:r>
    </w:p>
    <w:p>
      <w:r>
        <w:rPr>
          <w:b/>
        </w:rPr>
        <w:t>🌐 해외 상황</w:t>
      </w:r>
    </w:p>
    <w:p>
      <w:r>
        <w:t>핀란드 바르질라가 파르두스 에너지와 FSRU(부유식 LNG 저장·재기화 설비) 서비스 계약을 체결했다[44].</w:t>
      </w:r>
    </w:p>
    <w:p>
      <w:r>
        <w:rPr>
          <w:b/>
        </w:rPr>
        <w:t>🇰🇷 국내 영향</w:t>
      </w:r>
    </w:p>
    <w:p>
      <w:r>
        <w:t>사우디아라비아 홍해 연안 수출항 얀부에서 하루 원유 선적량이 470만 배럴에 달하는 것으로 보도됐다[45]. 호르무즈 긴장 고조로 LNG 운송에 차질이 발생하면서 글로벌 가스 가격이 재상승하고 있다[46]. 한·미 연합 해상 훈련이 9년 만에 실시됐으며, 유사시 항만이 파괴되더라도 미군 증원 전력과 물자를 신속히 상륙시키는 훈련이 포함됐다[47]. 북극항로 시대를 대비해 포항 영일만항을 피더항으로 육성해야 한다는 주장이 제기됐다[48].</w:t>
      </w:r>
    </w:p>
    <w:p>
      <w:pPr>
        <w:pStyle w:val="Heading3"/>
      </w:pPr>
      <w:r>
        <w:t>경제·금융  (HIGH 16 / MEDIUM 74)</w:t>
      </w:r>
    </w:p>
    <w:p>
      <w:r>
        <w:rPr>
          <w:b/>
        </w:rPr>
        <w:t>🌐 해외 상황</w:t>
      </w:r>
    </w:p>
    <w:p>
      <w:r>
        <w:t>국제유가는 미·이란 긴장 고조로 나흘 연속 상승했으며, 유가가 배럴당 84달러로 14% 급등했다는 보도도 나왔다[53][55]. 골드만삭스는 페르시아만이 마비될 경우 브렌트유가 110달러를 초과할 수 있다고 전망했다[50]. 호르무즈 해협 교란으로 미국 원유 선물 가격이 상승하고 월스트리트 프리마켓도 소폭 올랐다[49][58].</w:t>
      </w:r>
    </w:p>
    <w:p>
      <w:r>
        <w:rPr>
          <w:b/>
        </w:rPr>
        <w:t>🇰🇷 국내 영향</w:t>
      </w:r>
    </w:p>
    <w:p>
      <w:r>
        <w:t>브렌트유가 85달러를 돌파하면서 국제유가 100달러 가능성에 대한 우려가 제기되고 있다[59]. 신한투자증권은 호르무즈 리스크 재점화로 정유 업종은 실적 개선, 화학 업종은 차별화된 영향을 받을 것으로 분석했다[60]. 미국 6월 생산자물가가 예상 밖으로 전월 대비 0.3% 하락하면서 인플레이션 우려가 완화됐고[61][67][68], 원·달러 환율은 두 달 만에 1480원대로 복귀했다[64][66]. 미 물가 둔화로 긴축 우려가 완화되면서 중동 긴장에도 불구하고 미국 증시와 채권이 동반 상승했다[62].</w:t>
      </w:r>
    </w:p>
    <w:p>
      <w:pPr>
        <w:pStyle w:val="Heading3"/>
      </w:pPr>
      <w:r>
        <w:t>해운  (HIGH 1 / MEDIUM 7)</w:t>
      </w:r>
    </w:p>
    <w:p>
      <w:r>
        <w:rPr>
          <w:b/>
        </w:rPr>
        <w:t>🌐 해외 상황</w:t>
      </w:r>
    </w:p>
    <w:p>
      <w:r>
        <w:t>ZIM과 MSC가 아시아 컨테이너 서비스 노선에 잭슨빌 항구(JAXPORT)를 추가했다[70]. 이스라엘이 미국 항공기의 벤구리온 공항 급유 허용 금지 조치를 번복했으며, 미국 유조선의 벤구리온 착륙도 허용됐다[69][71].</w:t>
      </w:r>
    </w:p>
    <w:p>
      <w:r>
        <w:rPr>
          <w:b/>
        </w:rPr>
        <w:t>🇰🇷 국내 영향</w:t>
      </w:r>
    </w:p>
    <w:p>
      <w:r>
        <w:t>산유국들이 호르무즈 해협 우회 대체 항로 확보에 나서고 있다[72]. SK해운은 탱커 사업을 축소하고 LNG 운송 인프라에 집중하는 방향으로 사업 구조를 전환하고 있다[73]. HMM은 캘리포니아산 오렌지 한국 운송에서 4년 연속 1위를 기록했다[74][75]. 현대LNG해운 매각 절차가 마무리 단계에 접어들어 3분기 내 클로징이 가시권에 들어온 것으로 보도됐다[76].</w:t>
      </w:r>
    </w:p>
    <w:p>
      <w:pPr>
        <w:pStyle w:val="Heading3"/>
      </w:pPr>
      <w:r>
        <w:t>기타 산업  (HIGH 9 / MEDIUM 15)</w:t>
      </w:r>
    </w:p>
    <w:p>
      <w:r>
        <w:rPr>
          <w:b/>
        </w:rPr>
        <w:t>🌐 해외 상황</w:t>
      </w:r>
    </w:p>
    <w:p>
      <w:r>
        <w:t>인도 정부는 가스 기반 요소 비료 공장 8~9개 신설을 위한 국가 요소 투자 정책(NIPU-2026)을 승인했다[77][78][86]. 이란의 광범위한 봉쇄 위협으로 원유·LNG·비료·다이아몬드 등 다양한 품목의 공급 차질 가능성이 제기됐다[79]. 우크라이나의 흑해 공격으로 글로벌 밀 가격이 급등했으며, 우크라이나의 수출 능력이 30% 감소한 것으로 보도됐다[80][81][83]. 터키는 주요 LNG 수입 터미널의 저장 용량 확장 공사를 시작했다[84].</w:t>
      </w:r>
    </w:p>
    <w:p>
      <w:r>
        <w:rPr>
          <w:b/>
        </w:rPr>
        <w:t>🇰🇷 국내 영향</w:t>
      </w:r>
    </w:p>
    <w:p>
      <w:r>
        <w:t>이란의 중동 에너지 수출 중단 경고로 국내 기름값 비상이 우려되고 있다[87][88]. 국내 정유주는 이란 전쟁 격화에 따른 정제마진 상승 기대로 강세를 보이고 있다[89]. 공정거래위원회는 석유화학 구조개편안 '대산 1호 프로젝트'에 대한 기업결합 심의를 개시했다[90][91]. HD한국조선해양은 5456억 원 규모의 암모니아 운반선 3척을 수주했다[93]. 러시아와 우크라이나의 흑해·아조우해 공방으로 곡물 가격 비상이 걸렸으며, 우크라이나의 수출 능력이 30% 감소한 것으로 보도됐다[94][95][96].</w:t>
      </w:r>
    </w:p>
    <w:p>
      <w:r>
        <w:br w:type="page"/>
      </w:r>
    </w:p>
    <w:p>
      <w:pPr>
        <w:pStyle w:val="Heading2"/>
      </w:pPr>
      <w:r>
        <w:t>통계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구분</w:t>
            </w:r>
          </w:p>
        </w:tc>
        <w:tc>
          <w:tcPr>
            <w:tcW w:type="dxa" w:w="2946"/>
          </w:tcPr>
          <w:p>
            <w:r>
              <w:rPr>
                <w:b/>
              </w:rPr>
              <w:t>건수</w:t>
            </w:r>
          </w:p>
        </w:tc>
        <w:tc>
          <w:tcPr>
            <w:tcW w:type="dxa" w:w="2946"/>
          </w:tcPr>
          <w:p>
            <w:r>
              <w:rPr>
                <w:b/>
              </w:rPr>
              <w:t>비중</w:t>
            </w:r>
          </w:p>
        </w:tc>
      </w:tr>
      <w:tr>
        <w:tc>
          <w:tcPr>
            <w:tcW w:type="dxa" w:w="2946"/>
          </w:tcPr>
          <w:p>
            <w:r>
              <w:t>총 수집</w:t>
            </w:r>
          </w:p>
        </w:tc>
        <w:tc>
          <w:tcPr>
            <w:tcW w:type="dxa" w:w="2946"/>
          </w:tcPr>
          <w:p>
            <w:r>
              <w:t>2896</w:t>
            </w:r>
          </w:p>
        </w:tc>
        <w:tc>
          <w:tcPr>
            <w:tcW w:type="dxa" w:w="2946"/>
          </w:tcPr>
          <w:p>
            <w:r>
              <w:t>100.0%</w:t>
            </w:r>
          </w:p>
        </w:tc>
      </w:tr>
      <w:tr>
        <w:tc>
          <w:tcPr>
            <w:tcW w:type="dxa" w:w="2946"/>
          </w:tcPr>
          <w:p>
            <w:r>
              <w:t>HIGH</w:t>
            </w:r>
          </w:p>
        </w:tc>
        <w:tc>
          <w:tcPr>
            <w:tcW w:type="dxa" w:w="2946"/>
          </w:tcPr>
          <w:p>
            <w:r>
              <w:t>228</w:t>
            </w:r>
          </w:p>
        </w:tc>
        <w:tc>
          <w:tcPr>
            <w:tcW w:type="dxa" w:w="2946"/>
          </w:tcPr>
          <w:p>
            <w:r>
              <w:t>7.9%</w:t>
            </w:r>
          </w:p>
        </w:tc>
      </w:tr>
      <w:tr>
        <w:tc>
          <w:tcPr>
            <w:tcW w:type="dxa" w:w="2946"/>
          </w:tcPr>
          <w:p>
            <w:r>
              <w:t>MEDIUM</w:t>
            </w:r>
          </w:p>
        </w:tc>
        <w:tc>
          <w:tcPr>
            <w:tcW w:type="dxa" w:w="2946"/>
          </w:tcPr>
          <w:p>
            <w:r>
              <w:t>229</w:t>
            </w:r>
          </w:p>
        </w:tc>
        <w:tc>
          <w:tcPr>
            <w:tcW w:type="dxa" w:w="2946"/>
          </w:tcPr>
          <w:p>
            <w:r>
              <w:t>7.9%</w:t>
            </w:r>
          </w:p>
        </w:tc>
      </w:tr>
      <w:tr>
        <w:tc>
          <w:tcPr>
            <w:tcW w:type="dxa" w:w="2946"/>
          </w:tcPr>
          <w:p>
            <w:r>
              <w:t>LOW</w:t>
            </w:r>
          </w:p>
        </w:tc>
        <w:tc>
          <w:tcPr>
            <w:tcW w:type="dxa" w:w="2946"/>
          </w:tcPr>
          <w:p>
            <w:r>
              <w:t>336</w:t>
            </w:r>
          </w:p>
        </w:tc>
        <w:tc>
          <w:tcPr>
            <w:tcW w:type="dxa" w:w="2946"/>
          </w:tcPr>
          <w:p>
            <w:r>
              <w:t>11.6%</w:t>
            </w:r>
          </w:p>
        </w:tc>
      </w:tr>
      <w:tr>
        <w:tc>
          <w:tcPr>
            <w:tcW w:type="dxa" w:w="2946"/>
          </w:tcPr>
          <w:p>
            <w:r>
              <w:t>NONE</w:t>
            </w:r>
          </w:p>
        </w:tc>
        <w:tc>
          <w:tcPr>
            <w:tcW w:type="dxa" w:w="2946"/>
          </w:tcPr>
          <w:p>
            <w:r>
              <w:t>2103</w:t>
            </w:r>
          </w:p>
        </w:tc>
        <w:tc>
          <w:tcPr>
            <w:tcW w:type="dxa" w:w="2946"/>
          </w:tcPr>
          <w:p>
            <w:r>
              <w:t>72.6%</w:t>
            </w:r>
          </w:p>
        </w:tc>
      </w:tr>
    </w:tbl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