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2026-05-10</w:t>
      </w:r>
    </w:p>
    <w:p>
      <w:pPr>
        <w:jc w:val="center"/>
      </w:pPr>
      <w:r>
        <w:rPr>
          <w:color w:val="808080"/>
          <w:sz w:val="18"/>
        </w:rPr>
        <w:t>생성 모델: claude-sonnet-4-6  |  HIGH+MEDIUM 540건 (해외 190건 / 국내 350건)</w:t>
      </w:r>
    </w:p>
    <w:p/>
    <w:p>
      <w:pPr>
        <w:pStyle w:val="Heading2"/>
      </w:pPr>
      <w:r>
        <w:t>오늘의 핵심</w:t>
      </w:r>
    </w:p>
    <w:p>
      <w:r>
        <w:t>한국 외교부는 HMM 소속 컨테이너선 '나무호'가 5월 4일 호르무즈 해협에서 미상 비행체 2기에 의해 선미 외판(폭 5m·깊이 7m 규모) 피격을 당했다고 공식 확인했으며[13][14][15][16][17], 승선 선원 1명이 목뼈 미세 골절 부상을 입은 것으로 파악됐다[23]. HMM은 공식 입장 발표 계획이 없다고 밝혔으나 선박 수리 기간 동안 하루 약 5억 원의 손실이 발생 중인 것으로 보도됐다[27][56]. 한편 카타르가 전쟁 개시 이후 처음으로 LNG 선박의 호르무즈 해협 통과를 시도·성사시켰으며[51][52][53][55], 이란도 미국의 협상안에 답변을 전달하고 첫 LNG 통과를 허용하는 등 종전 합의 가능성이 부상하고 있다[18][19]. 사우디 아람코는 동서 파이프라인을 통해 호르무즈 우회 수출을 확대하며 1분기 순이익이 전년 대비 25% 증가한 약 336억 달러(약 47조 원)를 기록했고[31][32][33][43][44], 아람코 CEO는 세계 석유 공급이 두 달 새 10억 배럴 감소했다고 밝히며 장기 공급 교란을 경고했다[35][41]. 국내에서는 고유가 대응을 위해 중소기업 경영안정자금 지원 확대, 석유수입기업 긴급 금융지원 검토 등 정부·지자체 차원의 대응이 잇따르고 있다[45][47][49][50].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235 / MEDIUM 130)</w:t>
      </w:r>
    </w:p>
    <w:p>
      <w:r>
        <w:rPr>
          <w:b/>
        </w:rPr>
        <w:t>🌐 해외 상황</w:t>
      </w:r>
    </w:p>
    <w:p>
      <w:r>
        <w:t>걸프 해역에서 드론 공격과 화물선 화재가 이란 전쟁 휴전 기간 중에도 지속됐으며[5][9], 이란 선박들이 오만만에서 피격돼 화재와 누유가 위성으로 포착됐다[2]. 미국의 공격에 대해 이란이 보복을 천명하는 가운데 드론이 걸프 선박들을 타격했고[4], 한국 화물선이 호르무즈에서 미상 물체에 피격됐다는 사실이 인도·파키스탄·일본 등 해외 언론에도 광범위하게 보도됐다[3][6][10]. 미국 에너지장관은 이란 전쟁 영향으로 미국 휘발유 가격이 갤런당 5달러를 넘지 않을 것이라고 단언하기를 거부했으며[34], 미국 연방준비제도(Fed)의 금융안정보고서는 지정학적 위험과 유가 충격을 최대 우려 요인으로 꼽았다[38]. 한편 이란은 미국의 평화 제안에 답변을 전달했으며[9][19], 파키스탄은 카타르 LNG를 호르무즈를 통해 추가 도입하기 위해 이란과 협의 중인 것으로 알려졌다[1].</w:t>
      </w:r>
    </w:p>
    <w:p>
      <w:r>
        <w:rPr>
          <w:b/>
        </w:rPr>
        <w:t>🇰🇷 국내 영향</w:t>
      </w:r>
    </w:p>
    <w:p>
      <w:r>
        <w:t>한국 정부는 HMM 나무호가 5월 4일 호르무즈 해협에서 미상 비행체 2기에 의해 2차례 타격을 받았다고 공식 결론 내렸으며[11][16][17], 외교부는 공격 주체는 아직 확인하지 못했다고 밝혔다[14][15]. 정부는 이란 측 외교관에게 조사 결과를 브리핑했고[7], 이번 피격 확인이 한국의 미국 주도 호르무즈 임무 참여 입장에 영향을 줄 수 있다는 관측이 해외에서 제기됐다[3]. 나무호 피격 공식 인정으로 이란 변수가 한국 외교·안보 의제로 부상했으며[16], 산업계는 초비상 상태에 돌입한 것으로 보도됐다[20]. 이란이 미국 협상안에 답변을 전달하고 호르무즈 개방·제재 해제를 포함한 종전 합의가 임박했다는 보도도 나왔다[18][19].</w:t>
      </w:r>
    </w:p>
    <w:p>
      <w:pPr>
        <w:pStyle w:val="Heading3"/>
      </w:pPr>
      <w:r>
        <w:t>해양안전  (HIGH 3 / MEDIUM 0)</w:t>
      </w:r>
    </w:p>
    <w:p>
      <w:r>
        <w:rPr>
          <w:b/>
        </w:rPr>
        <w:t>🌐 해외 상황</w:t>
      </w:r>
    </w:p>
    <w:p>
      <w:r>
        <w:t>이란 전쟁 휴전 기간 중 걸프 해역에서 화물선 화재가 발생해 휴전 상황이 시험대에 올랐으며[21], 카타르 해안 인근에서도 벌크선이 화재를 일으켰다[22].</w:t>
      </w:r>
    </w:p>
    <w:p>
      <w:r>
        <w:rPr>
          <w:b/>
        </w:rPr>
        <w:t>🇰🇷 국내 영향</w:t>
      </w:r>
    </w:p>
    <w:p>
      <w:r>
        <w:t>나무호 피격 당시 선원 1명이 목뼈 미세 골절 부상을 입은 것으로 외교부가 확인했다[23].</w:t>
      </w:r>
    </w:p>
    <w:p>
      <w:pPr>
        <w:pStyle w:val="Heading3"/>
      </w:pPr>
      <w:r>
        <w:t>운임·물류비  (HIGH 3 / MEDIUM 2)</w:t>
      </w:r>
    </w:p>
    <w:p>
      <w:r>
        <w:rPr>
          <w:b/>
        </w:rPr>
        <w:t>🌐 해외 상황</w:t>
      </w:r>
    </w:p>
    <w:p>
      <w:r>
        <w:t>사우디 아람코는 동서 파이프라인을 통해 하루 700만 배럴의 원유를 수출하며 호르무즈 봉쇄를 우회하고 있으며[71], 이를 통해 1분기 순이익이 25% 급등했다[24][25][70]. 동남아시아에서는 호르무즈 사태를 계기로 말라카 해협 통행료 부과 가능성에 대한 논의가 부상하고 있다[26]. 미국 항공사 프론티어 항공은 항공유 비용이 48% 급등하는 상황에 직면했다[36].</w:t>
      </w:r>
    </w:p>
    <w:p>
      <w:r>
        <w:rPr>
          <w:b/>
        </w:rPr>
        <w:t>🇰🇷 국내 영향</w:t>
      </w:r>
    </w:p>
    <w:p>
      <w:r>
        <w:t>HMM은 나무호 피격 발표 이후에도 공식 입장 발표 계획이 없다고 밝혔으나, 선박 수리 완료 전까지 하루 약 5억 원의 손실이 누적되고 있는 것으로 보도됐다[27][56]. 국내선 항공 유류할증료가 6월에 또다시 인상될 예정으로, 도민 부담 경감 대책 마련이 시급하다는 지적이 나왔다[28].</w:t>
      </w:r>
    </w:p>
    <w:p>
      <w:pPr>
        <w:pStyle w:val="Heading3"/>
      </w:pPr>
      <w:r>
        <w:t>항만·화물  (HIGH 1 / MEDIUM 1)</w:t>
      </w:r>
    </w:p>
    <w:p>
      <w:r>
        <w:rPr>
          <w:b/>
        </w:rPr>
        <w:t>🇰🇷 국내 영향</w:t>
      </w:r>
    </w:p>
    <w:p>
      <w:r>
        <w:t>정부는 중동전쟁 장기화에 따른 원유 수급 불안에 대응해 석유수입기업에 대한 긴급 금융지원 확대를 검토 중이다[30][73].</w:t>
      </w:r>
    </w:p>
    <w:p>
      <w:pPr>
        <w:pStyle w:val="Heading3"/>
      </w:pPr>
      <w:r>
        <w:t>경제·금융  (HIGH 5 / MEDIUM 88)</w:t>
      </w:r>
    </w:p>
    <w:p>
      <w:r>
        <w:rPr>
          <w:b/>
        </w:rPr>
        <w:t>🌐 해외 상황</w:t>
      </w:r>
    </w:p>
    <w:p>
      <w:r>
        <w:t>사우디 아람코는 호르무즈 긴장 속에서도 동서 파이프라인 풀가동을 통해 1분기 순이익이 25% 증가한 약 325억~336억 달러를 기록했다[31][32][33][67]. 아람코 CEO는 세계 석유 시장의 장기 공급 교란을 경고했으며[35][40], 이란 전쟁이 방글라데시 가계와 수출업체에도 압박을 가하고 있다는 보도가 나왔다[39]. 미국 연방준비제도(Fed)는 금융안정보고서에서 지정학적 위험과 유가 충격을 최대 우려 요인으로 명시했다[38]. 대만에서는 유가 변동에도 불구하고 연료 가격이 동결 유지됐다[37].</w:t>
      </w:r>
    </w:p>
    <w:p>
      <w:r>
        <w:rPr>
          <w:b/>
        </w:rPr>
        <w:t>🇰🇷 국내 영향</w:t>
      </w:r>
    </w:p>
    <w:p>
      <w:r>
        <w:t>사우디 아람코 CEO가 세계 석유 공급이 두 달 새 10억 배럴 감소했다고 밝혔으며[41], 호르무즈 긴장 장기화 조짐 속에 고유가·물류비 상승으로 국내 산업계에 비상이 걸렸다[42]. 정부는 중동사태 대응 3차 중소기업 경영안전자금 700억 원을 지원하기로 했고[45], 울산시도 중소기업 경영안정자금을 200억 원 증액했다[47]. 고유가 여파로 전기차 수요가 폭증해 보조금이 조기 소진됐다는 보도가 나왔으며[48], SK에너지는 전국 SK 주유소에 월 최대 200억 원을 지원하기로 했다[49]. 정부는 고유가 2차 지원금 지급을 앞두고 3,256만 명을 대상자로 파악한 것으로 보도됐다[50].</w:t>
      </w:r>
    </w:p>
    <w:p>
      <w:pPr>
        <w:pStyle w:val="Heading3"/>
      </w:pPr>
      <w:r>
        <w:t>해운  (HIGH 5 / MEDIUM 7)</w:t>
      </w:r>
    </w:p>
    <w:p>
      <w:r>
        <w:rPr>
          <w:b/>
        </w:rPr>
        <w:t>🌐 해외 상황</w:t>
      </w:r>
    </w:p>
    <w:p>
      <w:r>
        <w:t>카타르가 전쟁 개시 이후 처음으로 LNG 선박의 호르무즈 해협 통과를 성사시켰으며[51][53], 파키스탄행 카타르 LNG 탱커가 호르무즈 통과를 시도했다[52]. 미국 상장 해운사 젠코 쉬핑 앤 트레이딩은 1분기 실적 발표를 진행했다[54].</w:t>
      </w:r>
    </w:p>
    <w:p>
      <w:r>
        <w:rPr>
          <w:b/>
        </w:rPr>
        <w:t>🇰🇷 국내 영향</w:t>
      </w:r>
    </w:p>
    <w:p>
      <w:r>
        <w:t>카타르 선박의 호르무즈 통과 성공이 중재 외교의 물꼬를 트는 계기가 될 수 있다는 관측이 나왔다[55]. HMM은 나무호 피격 발표 이후에도 신중한 태도를 유지하며 선박 수리 완료 전까지 손실이 누적되고 있다[56]. HMM은 임시 주주총회에서 본사 부산 이전 안건을 통과시켜 이달 중 등기 절차를 진행할 예정이다[57][58]. 한국 조선업계에서는 HD현대가 2.1조 원 규모 선박 8척을 수주했고[62], 친환경 선박 발주 반등과 함께 K-조선 슈퍼사이클이 지속되고 있다는 분석이 나왔다[61]. 김정관 장관은 한·미 조선 협력 논의에서 미국도 상업적 합리성을 이해하고 있다고 밝혔다[59].</w:t>
      </w:r>
    </w:p>
    <w:p>
      <w:pPr>
        <w:pStyle w:val="Heading3"/>
      </w:pPr>
      <w:r>
        <w:t>기타 산업  (HIGH 5 / MEDIUM 55)</w:t>
      </w:r>
    </w:p>
    <w:p>
      <w:r>
        <w:rPr>
          <w:b/>
        </w:rPr>
        <w:t>🌐 해외 상황</w:t>
      </w:r>
    </w:p>
    <w:p>
      <w:r>
        <w:t>호르무즈 교란으로 글로벌 식품 가격이 상승하고 있으며[63], 필리핀 등 아시아태평양 지역이 식량 안보 충격에 직면했다는 보도가 나왔다[69]. 미국·이스라엘의 이란 공격으로 글로벌 황산 공급 부족이 발생하고 있다는 보고가 있으며[64], 이란 전쟁이 남아프리카 아남극 기지의 연료 공급을 교란시켰다[65]. 이란 최대 원유 수출 허브인 카르그 섬 인근에서 기름 유출이 포착됐다는 보도도 나왔다[66][72].</w:t>
      </w:r>
    </w:p>
    <w:p>
      <w:r>
        <w:rPr>
          <w:b/>
        </w:rPr>
        <w:t>🇰🇷 국내 영향</w:t>
      </w:r>
    </w:p>
    <w:p>
      <w:r>
        <w:t>재경부는 중동전쟁 발 원유 수급 불안을 점검하고 석유수입기업에 대한 금융지원 확대를 검토 중이다[73]. 전남도는 중동사태 속 농업용 면세유 최대 70% 지원 신청을 당부했다[74][75][76]. SK에너지는 고유가 상황에서 주유소 유통망 안정을 위해 매달 200억 원을 지원하기로 했다[77]. 부산 LNG 발전소에서 화재가 발생했으나 인명피해 없이 진압됐으며 전력 공급 차질이 최소화됐다[78][80]. 유가 변수 속에서 정제마진이 회복되며 S-Oil의 실적 개선 가능성이 주목받고 있으며[81], 한국의 에너지 지도가 달라져 석유·LNG의 중동 의존도가 줄어들고 있다는 분석도 나왔다[82].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2897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257</w:t>
            </w:r>
          </w:p>
        </w:tc>
        <w:tc>
          <w:tcPr>
            <w:tcW w:type="dxa" w:w="2946"/>
          </w:tcPr>
          <w:p>
            <w:r>
              <w:t>8.9%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283</w:t>
            </w:r>
          </w:p>
        </w:tc>
        <w:tc>
          <w:tcPr>
            <w:tcW w:type="dxa" w:w="2946"/>
          </w:tcPr>
          <w:p>
            <w:r>
              <w:t>9.8%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279</w:t>
            </w:r>
          </w:p>
        </w:tc>
        <w:tc>
          <w:tcPr>
            <w:tcW w:type="dxa" w:w="2946"/>
          </w:tcPr>
          <w:p>
            <w:r>
              <w:t>9.6%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2078</w:t>
            </w:r>
          </w:p>
        </w:tc>
        <w:tc>
          <w:tcPr>
            <w:tcW w:type="dxa" w:w="2946"/>
          </w:tcPr>
          <w:p>
            <w:r>
              <w:t>71.7%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