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2026-08-18</w:t>
      </w:r>
    </w:p>
    <w:p>
      <w:pPr>
        <w:jc w:val="center"/>
      </w:pPr>
      <w:r>
        <w:rPr>
          <w:color w:val="808080"/>
          <w:sz w:val="18"/>
        </w:rPr>
        <w:t>생성 모델: claude-sonnet-4-6  |  HIGH+MEDIUM 504건 (해외 338건 / 국내 166건)</w:t>
      </w:r>
    </w:p>
    <w:p/>
    <w:p>
      <w:pPr>
        <w:pStyle w:val="Heading2"/>
      </w:pPr>
      <w:r>
        <w:t>오늘의 핵심</w:t>
      </w:r>
    </w:p>
    <w:p>
      <w:r>
        <w:t>이란 의회의장 갈리바프는 미국의 약속 이행 전까지 호르무즈 해협을 개방하지 않겠다고 선언했으며[1][17][18], 트럼프 대통령은 이란과의 대화 계획이 없다고 밝히면서도 해협이 개방 상태라고 주장해 양측 간 사실 인식 충돌이 지속되고 있다[2][6][8]. 미·이란 협상을 위한 60일 시한이 만료되면서 출구 없는 대치 국면이 심화되고 있으며[19][20], 브렌트유는 92.42달러, WTI는 91달러를 돌파하며 3일 연속 상승세를 기록했다[60][65][66]. 중동행 해상운송비는 이란전 이후 2.4배 급등했고[37], 7월 전 항로 해상 수출 운송비가 EU 36%, 중국 26% 급등하는 등 물류비 전반이 치솟고 있다[35]. 후티 반군은 사우디아라비아 아람코 자잔 정유시설을 2주 새 3차례 공격했다고 주장했으며[106], 사우디아라비아는 호르무즈 해협 내부에서의 원유 선적을 재개한 것으로 보고되었다[44][45][46].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138 / MEDIUM 148)</w:t>
      </w:r>
    </w:p>
    <w:p>
      <w:r>
        <w:rPr>
          <w:b/>
        </w:rPr>
        <w:t>🌐 해외 상황</w:t>
      </w:r>
    </w:p>
    <w:p>
      <w:r>
        <w:t>이란 의회의장 갈리바프는 미국이 요구 조건을 충족하기 전까지 호르무즈 해협을 개방하지 않겠다고 밝혔다[1][17][18]. 트럼프 대통령은 이란과의 대화 계획이 없다고 선언하면서도 호르무즈 해협이 개방 상태라고 주장했으나, 이란 측은 봉쇄 유지를 고수하며 양측 간 사실 인식이 충돌하고 있다[2][6][8]. 트럼프는 호르무즈 해협을 '미국의 새로운 영토'라고 선언하는 AI 생성 이미지를 공유하고 오만을 폭격하겠다고 위협했다는 보도도 나왔다[3][4][7][9][10]. 미·이란 간 양해각서 연장 협상이 결렬되고 60일 협상 시한도 만료되면서 출구 없는 대치 국면이 이어지고 있다[19][20].</w:t>
      </w:r>
    </w:p>
    <w:p>
      <w:r>
        <w:rPr>
          <w:b/>
        </w:rPr>
        <w:t>🇰🇷 국내 영향</w:t>
      </w:r>
    </w:p>
    <w:p>
      <w:r>
        <w:t>국내 언론은 트럼프의 '이란과 대화 없다' 발언과 호르무즈 봉쇄 유지 상황을 일제히 보도하며 사태의 장기화 가능성을 주목하고 있다[11][12][13][14][15][16]. 이란이 미국의 약속 이행을 봉쇄 해제 조건으로 제시하면서[17][18], 협상 재개 시점이 불투명해진 상황이다. 60일 협상 시한 만료로 외교적 해결 경로가 사실상 막힌 것으로 보이며[20], 한국의 중동 에너지 수입 의존도를 감안할 때 사태 장기화에 대한 우려가 커지고 있다.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미 해군 구축함이 남중국해에서 4일간 동력을 상실한 채 표류하다 예인된 사건이 발생했다[21][23]. 소말리아 아프리카의 뿔 인근 해상에서는 무장 세력이 화물선을 나포하는 해적 사건이 보고되었다[22].</w:t>
      </w:r>
    </w:p>
    <w:p>
      <w:pPr>
        <w:pStyle w:val="Heading3"/>
      </w:pPr>
      <w:r>
        <w:t>운임·물류비  (HIGH 14 / MEDIUM 11)</w:t>
      </w:r>
    </w:p>
    <w:p>
      <w:r>
        <w:rPr>
          <w:b/>
        </w:rPr>
        <w:t>🌐 해외 상황</w:t>
      </w:r>
    </w:p>
    <w:p>
      <w:r>
        <w:t>호르무즈 해협 통과 선박 수는 주말 대비 소폭 증가했으나 여전히 한 자릿수에 머물고 있다[29][30][31][32]. 중동 원유 항로 유조선 운임은 하루 약 51만 달러에 근접하는 수준으로 급등했다[27]. 파나마 운하 수위 하락으로 해상 운송비가 급등하고 있다는 보도도 나왔다[26]. 호르무즈 우회 항로 구축 시 유가 하락 가능성에 대한 전문가 분석이 제기되었으며[28], 걸프 원유의 해협 우회 수출 경로에 대한 관심도 높아지고 있다[25].</w:t>
      </w:r>
    </w:p>
    <w:p>
      <w:r>
        <w:rPr>
          <w:b/>
        </w:rPr>
        <w:t>🇰🇷 국내 영향</w:t>
      </w:r>
    </w:p>
    <w:p>
      <w:r>
        <w:t>7월 해상 수출 운송비가 전 항로에서 급등해 EU향 36%, 중국향 26% 상승했다[35]. 중동행 해상운송비는 이란전 이후 2.4배 급등해 미국행보다 비싸진 상황이다[37]. SK해운은 파나마 운하 '매직패스'를 65억 원에 구매한 것으로 보도되었다[36]. 9월 국제선 유류할증료는 8월 14단계에서 21단계로 7단계 상승하며, 미국 왕복 최고 70만 원, 도쿄 왕복 3만 원 인상 등 소비자 부담이 커지고 있다[38][39][40][41][42][43].</w:t>
      </w:r>
    </w:p>
    <w:p>
      <w:pPr>
        <w:pStyle w:val="Heading3"/>
      </w:pPr>
      <w:r>
        <w:t>항만·화물  (HIGH 6 / MEDIUM 3)</w:t>
      </w:r>
    </w:p>
    <w:p>
      <w:r>
        <w:rPr>
          <w:b/>
        </w:rPr>
        <w:t>🌐 해외 상황</w:t>
      </w:r>
    </w:p>
    <w:p>
      <w:r>
        <w:t>사우디아라비아와 사우디 아람코가 호르무즈 해협 내부에서의 원유 선적 및 판매를 재개했다[44][45][46]. 사우디아라비아가 오만 인근에서 원유를 판매하겠다는 제안을 한 것은 호르무즈를 통해 '다크 항해'를 하고 있다는 신호일 가능성이 있다는 분석도 나왔다[5]. 미국의 전략비축유 방출로 미국 원유 비축량이 40년 만에 최저 수준으로 떨어졌다[47].</w:t>
      </w:r>
    </w:p>
    <w:p>
      <w:r>
        <w:rPr>
          <w:b/>
        </w:rPr>
        <w:t>🇰🇷 국내 영향</w:t>
      </w:r>
    </w:p>
    <w:p>
      <w:r>
        <w:t>울산항의 LNG 수입이 급증하고 있으며, 이는 원유·석유 중심 에너지 공급망 다변화 및 수소경제 전환 가속화와 연결되는 것으로 보도되었다[48][49][50][52]. 인천항에서는 교역 축이 변화해 인도네시아가 부상하고 태국이 주춤하는 흐름이 나타났다[51].</w:t>
      </w:r>
    </w:p>
    <w:p>
      <w:pPr>
        <w:pStyle w:val="Heading3"/>
      </w:pPr>
      <w:r>
        <w:t>경제·금융  (HIGH 14 / MEDIUM 126)</w:t>
      </w:r>
    </w:p>
    <w:p>
      <w:r>
        <w:rPr>
          <w:b/>
        </w:rPr>
        <w:t>🌐 해외 상황</w:t>
      </w:r>
    </w:p>
    <w:p>
      <w:r>
        <w:t>브렌트유가 90달러를 재돌파하고 WTI가 91달러를 넘어서며 3일 연속 상승했으며[60][61][62], 미·이란 긴장 지속이 호르무즈 공급 차질 우려를 키우고 있다[53][55][58]. 다우존스 지수는 유가 급등 압박에 하락했으며[54], 글로벌 증시도 원유 가격 급등에 동반 하락 출발했다[56][57]. 디젤 마진이 기록적 수준에 달했다는 보도도 나왔다[53].</w:t>
      </w:r>
    </w:p>
    <w:p>
      <w:r>
        <w:rPr>
          <w:b/>
        </w:rPr>
        <w:t>🇰🇷 국내 영향</w:t>
      </w:r>
    </w:p>
    <w:p>
      <w:r>
        <w:t>브렌트유가 92.42달러를 기록하며 호르무즈 긴장을 반영했고[65], 미·이란 교착 상태에 유가 90달러를 재돌파했다[66]. 서울 증시는 기술주 강세로 상승 출발했으나 중동 우려로 상승폭을 반납하는 흐름을 보였다[63][64]. 뉴욕 증시는 장기금리·유가 부담에 나스닥 선물 1.3% 하락 등 기술주 약세로 하락 출발했다[67][69][70][71]. 미국 7월 CPI는 3.4%를 기록했으며 에너지 물가는 14.7% 상승했다[72]. 사우디·UAE는 일본에 원유 비축량을 10배로 늘리자고 요청했으며 한국과도 협의 중인 것으로 보도되었다[68].</w:t>
      </w:r>
    </w:p>
    <w:p>
      <w:pPr>
        <w:pStyle w:val="Heading3"/>
      </w:pPr>
      <w:r>
        <w:t>수산물  (HIGH 0 / MEDIUM 5)</w:t>
      </w:r>
    </w:p>
    <w:p>
      <w:r>
        <w:rPr>
          <w:b/>
        </w:rPr>
        <w:t>🌐 해외 상황</w:t>
      </w:r>
    </w:p>
    <w:p>
      <w:r>
        <w:t>중국에서 포멜로(자몽류) 생산량이 약 10% 증가했으나 높은 해상 운송비가 수출에 압박을 가하고 있다[73].</w:t>
      </w:r>
    </w:p>
    <w:p>
      <w:r>
        <w:rPr>
          <w:b/>
        </w:rPr>
        <w:t>🇰🇷 국내 영향</w:t>
      </w:r>
    </w:p>
    <w:p>
      <w:r>
        <w:t>새만금 수산가공단지가 두 배 규모로 확대되며 K-수산물 수출 거점으로 도약을 노리고 있다[74]. 한국은 동해안 참다랑어 어획량 확대를 결정했으며[75], 한·일 양국의 참치 어획량이 내년부터 늘어날 예정이다[76]. 태평양 참다랑어 쿼터는 18% 확대되었으며 국가별 분배가 관건으로 떠올랐다[77].</w:t>
      </w:r>
    </w:p>
    <w:p>
      <w:pPr>
        <w:pStyle w:val="Heading3"/>
      </w:pPr>
      <w:r>
        <w:t>해운  (HIGH 3 / MEDIUM 8)</w:t>
      </w:r>
    </w:p>
    <w:p>
      <w:r>
        <w:rPr>
          <w:b/>
        </w:rPr>
        <w:t>🌐 해외 상황</w:t>
      </w:r>
    </w:p>
    <w:p>
      <w:r>
        <w:t>중국 국영 해운사들이 유조선을 걸프 외부에 배치하고 초크포인트를 회피하는 전략을 취하고 있다[78]. 러시아 아이스클래스 LNG 운반선이 북극항로를 통해 출항했다[80][82]. 상하이에서 그린메탄올 8,000톤 규모의 세계 최대 벙커링 작업이 완료되었다[83]. 호르무즈 해협 통과 선박 수는 주말 대비 소폭 증가했다[79].</w:t>
      </w:r>
    </w:p>
    <w:p>
      <w:r>
        <w:rPr>
          <w:b/>
        </w:rPr>
        <w:t>🇰🇷 국내 영향</w:t>
      </w:r>
    </w:p>
    <w:p>
      <w:r>
        <w:t>중국 해운사가 전략 해협 원유 운송을 중단했다는 보도가 국내에서도 주목받았다[85]. 상하이의 세계 최대 그린메탄올 벙커링 완료 소식이 국내에도 보도되었다[86]. 북극항로 시범운항 관련 행사가 줄줄이 취소·연기되었으며, 그 배경에 대한 관심이 높아지고 있다[87][88].</w:t>
      </w:r>
    </w:p>
    <w:p>
      <w:pPr>
        <w:pStyle w:val="Heading3"/>
      </w:pPr>
      <w:r>
        <w:t>기타 산업  (HIGH 8 / MEDIUM 15)</w:t>
      </w:r>
    </w:p>
    <w:p>
      <w:r>
        <w:rPr>
          <w:b/>
        </w:rPr>
        <w:t>🌐 해외 상황</w:t>
      </w:r>
    </w:p>
    <w:p>
      <w:r>
        <w:t>후티 반군은 사우디아라비아 아람코 자잔 정유시설을 2주 새 3차례 공격했다고 주장했다[106]. 글로벌 원유 공급 부족이 심화되고 미국 전략비축유가 40년 만에 최저 수준으로 떨어진 가운데 디젤 부족 우려도 제기되었다[91]. 파키스탄은 공급 경로 안보 우려로 LPG 부족 위험에 처한 것으로 보도되었다[92]. 엑슨모빌은 모잠비크 로부마 LNG 프로젝트에 11억 달러 규모의 계약을 체결했다[93]. 호주 요소 가격은 9% 하락해 톤당 724달러를 기록하며 농업 비용 부담이 완화되었다[94][95][97][98]. 미국은 높은 유가 완화를 위해 정유 능력 확대를 검토 중이다[99].</w:t>
      </w:r>
    </w:p>
    <w:p>
      <w:r>
        <w:rPr>
          <w:b/>
        </w:rPr>
        <w:t>🇰🇷 국내 영향</w:t>
      </w:r>
    </w:p>
    <w:p>
      <w:r>
        <w:t>후티 반군의 아람코 자잔 정유시설 반복 공격이 국내 언론에 집중 보도되었다[101][102][103][104][105][106][107]. S-OIL은 샤힌 프로젝트를 통해 석유화학 사업 구조 전환을 추진하고 있다[108]. 이수화학은 상반기 영업이익 1,220억 원으로 역대 최대를 기록했으며, LAB·NP 수급 타이트가 배경으로 지목되었다[109]. 캐나다는 미국 의존도를 낮추고 아시아를 향한 LNG 수출 확대를 추진하고 있어 한국의 LNG 공급 다변화 기회가 될 가능성이 있다[110].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2553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183</w:t>
            </w:r>
          </w:p>
        </w:tc>
        <w:tc>
          <w:tcPr>
            <w:tcW w:type="dxa" w:w="2946"/>
          </w:tcPr>
          <w:p>
            <w:r>
              <w:t>7.2%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321</w:t>
            </w:r>
          </w:p>
        </w:tc>
        <w:tc>
          <w:tcPr>
            <w:tcW w:type="dxa" w:w="2946"/>
          </w:tcPr>
          <w:p>
            <w:r>
              <w:t>12.6%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383</w:t>
            </w:r>
          </w:p>
        </w:tc>
        <w:tc>
          <w:tcPr>
            <w:tcW w:type="dxa" w:w="2946"/>
          </w:tcPr>
          <w:p>
            <w:r>
              <w:t>15.0%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1666</w:t>
            </w:r>
          </w:p>
        </w:tc>
        <w:tc>
          <w:tcPr>
            <w:tcW w:type="dxa" w:w="2946"/>
          </w:tcPr>
          <w:p>
            <w:r>
              <w:t>65.3%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