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2026-03-30</w:t>
      </w:r>
    </w:p>
    <w:p>
      <w:pPr>
        <w:jc w:val="center"/>
      </w:pPr>
      <w:r>
        <w:rPr>
          <w:color w:val="808080"/>
          <w:sz w:val="18"/>
        </w:rPr>
        <w:t>생성 모델: claude-sonnet-4-6  |  HIGH+MEDIUM 3593건 (해외 889건 / 국내 2704건)</w:t>
      </w:r>
    </w:p>
    <w:p/>
    <w:p>
      <w:pPr>
        <w:pStyle w:val="Heading2"/>
      </w:pPr>
      <w:r>
        <w:t>오늘의 핵심</w:t>
      </w:r>
    </w:p>
    <w:p>
      <w:r>
        <w:t>2026년 3월 30일 기준, 이란의 호르무즈 해협 통행료(20억 달러) 부과 계획과 트럼프의 이란 석유시설·발전소 폭파 경고가 동시에 부각되며 브렌트유가 배럴당 115달러, WTI가 100달러를 돌파하는 등 국제유가가 역대급 급등세를 보이고 있다. 한국은 나프타 수급 위기에 대응해 러시아산 나프타 2.7만 톤을 긴급 확보·국내 도착시켰으나, 정유사 재고가 15일치에 불과한 것으로 보이며 석유화학 공장 연쇄 셧다운 우려가 현실화되고 있다. 코스피는 외국인 매도세 속에 3% 가까이 폭락하며 아시아 주요 증시 중 가장 큰 낙폭을 기록했고, 원·달러 환율은 1,520원을 돌파해 금융위기 이후 최고 수준에 달했다. 홍해-호르무즈 이중 봉쇄 리스크가 한국 수출 공급망을 직격하는 가운데, 정부는 25조 원 규모 추경 중 10조 원을 고유가 부담 완화에 투입하기로 한 것으로 보인다.</w:t>
      </w:r>
    </w:p>
    <w:p/>
    <w:p>
      <w:pPr>
        <w:pStyle w:val="Heading2"/>
      </w:pPr>
      <w:r>
        <w:t>카테고리별 분석</w:t>
      </w:r>
    </w:p>
    <w:p>
      <w:pPr>
        <w:pStyle w:val="Heading3"/>
      </w:pPr>
      <w:r>
        <w:t>안보·군사  (HIGH 778 / MEDIUM 929)</w:t>
      </w:r>
    </w:p>
    <w:p>
      <w:r>
        <w:rPr>
          <w:b/>
        </w:rPr>
        <w:t>🌐 해외 상황</w:t>
      </w:r>
    </w:p>
    <w:p>
      <w:r>
        <w:t>걸프 동맹국들이 트럼프에게 이란이 결정적으로 패배할 때까지 전쟁을 지속해야 한다고 비공개로 압박하고 있으며, 트럼프는 이란 석유시설·발전소 폭파를 공개 경고했다. 이란 의회 위원회는 호르무즈 해협 통행료 부과 계획을 승인한 것으로 보이며, 후티 반군이 이란 편에 가담하면서 분쟁이 확전 양상을 띠고 있다. 미국은 이란의 석유를 직접 탈취하겠다는 발언까지 나왔고, 이란은 호르무즈 봉쇄를 명령한 해군사령관 영상을 공개해 봉쇄 의지를 과시하고 있다. 중동 분쟁은 유럽 에너지·경제에도 충격파를 보내고 있으며, 호르무즈 사태가 암모니아·비료 교역까지 위협하고 있다.</w:t>
      </w:r>
    </w:p>
    <w:p>
      <w:r>
        <w:rPr>
          <w:b/>
        </w:rPr>
        <w:t>🇰🇷 국내 영향</w:t>
      </w:r>
    </w:p>
    <w:p>
      <w:r>
        <w:t>이라크에서 한국인 근로자 60명이 대피했으며, 레드씨-호르무즈 이중 봉쇄 우려가 한국 수출 공급망 리스크로 직결되고 있다. 이란 통행료 부과 계획은 이미 진행 중인 미-이란 협상을 복잡하게 만들 가능성이 있으며, 한국의 중동 에너지 수입 경로 전반에 불확실성이 가중되고 있다. 트럼프의 대이란 강경 발언은 코스피 5% 폭락의 도화선이 된 것으로 분석된다.</w:t>
      </w:r>
    </w:p>
    <w:p>
      <w:pPr>
        <w:pStyle w:val="Heading3"/>
      </w:pPr>
      <w:r>
        <w:t>해양안전  (HIGH 4 / MEDIUM 4)</w:t>
      </w:r>
    </w:p>
    <w:p>
      <w:r>
        <w:rPr>
          <w:b/>
        </w:rPr>
        <w:t>🌐 해외 상황</w:t>
      </w:r>
    </w:p>
    <w:p>
      <w:r>
        <w:t>이란의 공격을 받은 태국 선박이 보름간 표류 끝에 좌초됐으며, 태국 선주는 실종 선원을 아직 발견하지 못했다고 밝혔다. 머스크는 살랄라 항만 운영을 드론 공격 이후 일시 중단했고, 국제해사기구(IACS)는 2025년 연간 리뷰를 통해 해양안전 역할을 강조하고 있다. 인도 해운부는 두 척의 인도향 유조선이 호르무즈 해협을 무사 통과했다고 밝혔다.</w:t>
      </w:r>
    </w:p>
    <w:p>
      <w:r>
        <w:rPr>
          <w:b/>
        </w:rPr>
        <w:t>🇰🇷 국내 영향</w:t>
      </w:r>
    </w:p>
    <w:p>
      <w:r>
        <w:t>페르시아만에 장기 고립됐던 선박에서 일본인 선원 4명이 건강 이상 없이 하선했다. 걸프만에 고립된 선원 2만 명이 위험에 노출된 것으로 보이며, 한국 선원 포함 여부에 대한 모니터링이 필요한 상황이다. 울산 HD현대미포 잠수부 사망사고 관련 하청업체 대표가 구속 송치되는 등 국내 해양안전 사건도 병행 발생하고 있다.</w:t>
      </w:r>
    </w:p>
    <w:p>
      <w:pPr>
        <w:pStyle w:val="Heading3"/>
      </w:pPr>
      <w:r>
        <w:t>운임·물류비  (HIGH 28 / MEDIUM 31)</w:t>
      </w:r>
    </w:p>
    <w:p>
      <w:r>
        <w:rPr>
          <w:b/>
        </w:rPr>
        <w:t>🌐 해외 상황</w:t>
      </w:r>
    </w:p>
    <w:p>
      <w:r>
        <w:t>이란 전쟁 여파로 컨테이너 운임이 호르무즈 연료 공급 차질에 의해 상승세를 보이고 있으며, 일본은 호르무즈 충격에 대응해 카스피해 원유 피벗을 추진하는 등 공급망 재편 움직임이 나타나고 있다. 사우디아라비아는 컨테이너 수수료 면제를 연장해 비용 부담을 일부 완화하고 있으며, 모로코 탕헤르항은 걸프 위기에 따른 교통량 급증에 대비하고 있다. 수에즈 운하는 중동 위기 결과로 교통량이 10% 가까이 증가한 것으로 보이며, 발틱건화물운임지수(BDI)는 14포인트 하락해 2,017을 기록했다. 미국 재무장관 베센트는 호르무즈 교통량 증가가 가스 가격 상승 압력을 일부 완화할 수 있다는 견해를 밝혔다.</w:t>
      </w:r>
    </w:p>
    <w:p>
      <w:r>
        <w:rPr>
          <w:b/>
        </w:rPr>
        <w:t>🇰🇷 국내 영향</w:t>
      </w:r>
    </w:p>
    <w:p>
      <w:r>
        <w:t>유조선 운임이 78% 급등한 반면 벌크 운임은 제자리를 맴돌아 한국 해운사 수익성 격차가 심화되고 있다. 선박 보험료가 최대 383% 급등한 것으로 보이며, 이는 한국 수출입 물류비 전반을 직격하고 있다. 홍해 봉쇄 시 유럽 수출 동맥이 막혀 희망봉 우회가 불가피해지는데, 이 경우 운임 폭등이 장기 고착될 가능성이 있다. 유류할증료는 5월에 추가 인상될 것으로 보이며 미국행 항공권 기준 55만 원 수준에 달할 전망이다.</w:t>
      </w:r>
    </w:p>
    <w:p>
      <w:pPr>
        <w:pStyle w:val="Heading3"/>
      </w:pPr>
      <w:r>
        <w:t>항만·화물  (HIGH 90 / MEDIUM 32)</w:t>
      </w:r>
    </w:p>
    <w:p>
      <w:r>
        <w:rPr>
          <w:b/>
        </w:rPr>
        <w:t>🌐 해외 상황</w:t>
      </w:r>
    </w:p>
    <w:p>
      <w:r>
        <w:t>카타르에너지가 라스라판 사태 속에서 미국 LNG를 온라인으로 공급하기 시작했으며, 글로벌 우레아(요소) 공급원 평가를 위한 태스크포스가 구성됐다. 호주는 LNG 생산 차질로 정전 사태가 발생했고, 호주가 걸프 원유로부터 차단되는 정확한 날짜를 예측한 지도가 공개됐다. LG Chem(LG화학)과 한국이 러시아산 나프타 수입을 재개하고 있다는 해외 보도가 나왔으며, 필리핀 Petron은 러시아산 원유 248만 배럴을 확보한 것으로 전해진다.</w:t>
      </w:r>
    </w:p>
    <w:p>
      <w:r>
        <w:rPr>
          <w:b/>
        </w:rPr>
        <w:t>🇰🇷 국내 영향</w:t>
      </w:r>
    </w:p>
    <w:p>
      <w:r>
        <w:t>산업부는 러시아산 나프타 2.7만 톤이 3월 30일 국내 도착했다고 밝혔으며, LG화학이 이를 대산단지로 반입하는 것으로 보인다. 정유사 재고가 15일치에 불과한 것으로 알려지면서 원유 우회로도 차단될 위기에 처해 있다. 나프타 수급 비상 속에서 정부는 최악의 경우 일반 봉투 사용 허용 등 비상조치를 검토 중이며, 석유화학 공장 연쇄 셧다운 우려가 현실화되고 있다. 울산항 2월 물동량은 대외 불확실성 확대로 12.2% 감소한 것으로 집계됐다.</w:t>
      </w:r>
    </w:p>
    <w:p>
      <w:pPr>
        <w:pStyle w:val="Heading3"/>
      </w:pPr>
      <w:r>
        <w:t>경제·금융  (HIGH 140 / MEDIUM 1075)</w:t>
      </w:r>
    </w:p>
    <w:p>
      <w:r>
        <w:rPr>
          <w:b/>
        </w:rPr>
        <w:t>🌐 해외 상황</w:t>
      </w:r>
    </w:p>
    <w:p>
      <w:r>
        <w:t>브렌트유가 월간 기준 역대 최대 상승폭을 기록하며 배럴당 115달러를 돌파했고, WTI도 2022년 이후 처음으로 100달러를 넘어섰다. 미국 가솔린 가격이 갤런당 4달러에 근접했으며, 사우디아라비아의 아시아향 원유 가격 책정이 전쟁으로 복잡해진 상황이다. 이란 분쟁은 여행·농업·항공유 비용 등 전방위적 비용 상승을 촉발시키고 있으며, 후티의 참전으로 리스크 프리미엄이 추가 가산된 것으로 보인다.</w:t>
      </w:r>
    </w:p>
    <w:p>
      <w:r>
        <w:rPr>
          <w:b/>
        </w:rPr>
        <w:t>🇰🇷 국내 영향</w:t>
      </w:r>
    </w:p>
    <w:p>
      <w:r>
        <w:t>서울 증시(코스피)는 외국인 매도세로 3% 가까이 하락하며 아시아 주요 증시 중 최대 낙폭을 기록했고, 트럼프의 이란 강경 발언이 코스피 5% 폭락의 도화선이 됐다. 원·달러 환율은 1,520원을 돌파해 금융위기 이후 최고 수준을 기록하고 있다. 정부는 25조 원 규모 전쟁 추경을 편성하고 이 중 10조 원을 고유가 부담 완화에 투입하기로 한 것으로 보인다. 사우디 경질유 5월 선적분 가격이 역대급 폭등이 예상됨에 따라 아시아 정유사 비상이 걸렸다.</w:t>
      </w:r>
    </w:p>
    <w:p>
      <w:pPr>
        <w:pStyle w:val="Heading3"/>
      </w:pPr>
      <w:r>
        <w:t>수산물  (HIGH 1 / MEDIUM 14)</w:t>
      </w:r>
    </w:p>
    <w:p>
      <w:r>
        <w:rPr>
          <w:b/>
        </w:rPr>
        <w:t>🌐 해외 상황</w:t>
      </w:r>
    </w:p>
    <w:p>
      <w:r>
        <w:t>남아공 감귤 농가가 수출 시즌을 앞두고 연료 리스크를 경고하고 있으며, 이란 전쟁 여파로 전 세계 비료 부족 사태가 촉발돼 식품 가격 급등 위협이 커지고 있다.</w:t>
      </w:r>
    </w:p>
    <w:p>
      <w:r>
        <w:rPr>
          <w:b/>
        </w:rPr>
        <w:t>🇰🇷 국내 영향</w:t>
      </w:r>
    </w:p>
    <w:p>
      <w:r>
        <w:t>유가 충격으로 어업계가 직격탄을 맞아 출항 포기와 조업 중단 사태가 속출하고 있다. 비료는 7월까지 공급 가능하다는 정부 발표가 나왔으나 이후 수급에 대한 불확실성이 남아 있다. 하림·마니커 등 닭고기 공급가 인상으로 소매가격이 16% 오르며 3년 만에 최고치를 기록했고, 축산물 가격 상승세도 지속되고 있다.</w:t>
      </w:r>
    </w:p>
    <w:p>
      <w:pPr>
        <w:pStyle w:val="Heading3"/>
      </w:pPr>
      <w:r>
        <w:t>해운  (HIGH 6 / MEDIUM 54)</w:t>
      </w:r>
    </w:p>
    <w:p>
      <w:r>
        <w:rPr>
          <w:b/>
        </w:rPr>
        <w:t>🌐 해외 상황</w:t>
      </w:r>
    </w:p>
    <w:p>
      <w:r>
        <w:t>Scorpio Tankers는 선박 매각 계약을 체결했으며, 이는 고운임 환경에서의 자산 유동화 전략으로 보인다.</w:t>
      </w:r>
    </w:p>
    <w:p>
      <w:r>
        <w:rPr>
          <w:b/>
        </w:rPr>
        <w:t>🇰🇷 국내 영향</w:t>
      </w:r>
    </w:p>
    <w:p>
      <w:r>
        <w:t>걸프만에 2만 명의 선원이 고립된 것으로 보이며, 이 중 한국 선원 피해 여부에 대한 모니터링이 필요하다. HMM은 이사회 의결로 본사 서울→부산 이전을 결정했고, 5월 8일 임시주총 개최를 예고했으나 노조는 즉각 반발해 주총 저지 전면전을 선언했다. 호르무즈 리스크에도 불구하고 국내 조선업계는 LNG선 릴레이 수주에 성공하며 발주처 다변화 효과를 보이고 있는 것으로 보인다.</w:t>
      </w:r>
    </w:p>
    <w:p>
      <w:pPr>
        <w:pStyle w:val="Heading3"/>
      </w:pPr>
      <w:r>
        <w:t>물류  (HIGH 2 / MEDIUM 31)</w:t>
      </w:r>
    </w:p>
    <w:p>
      <w:r>
        <w:rPr>
          <w:b/>
        </w:rPr>
        <w:t>🌐 해외 상황</w:t>
      </w:r>
    </w:p>
    <w:p>
      <w:r>
        <w:t>싱가포르 식품 제조업체들은 이란 전쟁발 디젤·물류·포장 비용 급등에 우려를 표명하고 있다.</w:t>
      </w:r>
    </w:p>
    <w:p>
      <w:r>
        <w:rPr>
          <w:b/>
        </w:rPr>
        <w:t>🇰🇷 국내 영향</w:t>
      </w:r>
    </w:p>
    <w:p>
      <w:r>
        <w:t>유가 급등으로 기업 물류비가 직격탄을 맞고 있으며, 국내 화물 운송의 72%를 차지하는 도로 운송 부문이 특히 타격을 받고 있다. 삼바로직스는 글로벌 공급망 셧다운 여파로 첫 파업 위기에 몰린 것으로 보이며, 레미콘 업계도 운송 차질 가능성이 제기되고 있다. 부산항만공사는 남유럽 바르셀로나를 물류 거점으로 활용하는 등 K-기업의 공급망 위기 돌파구 마련에 나서고 있다.</w:t>
      </w:r>
    </w:p>
    <w:p>
      <w:pPr>
        <w:pStyle w:val="Heading3"/>
      </w:pPr>
      <w:r>
        <w:t>항만혼잡  (HIGH 1 / MEDIUM 1)</w:t>
      </w:r>
    </w:p>
    <w:p>
      <w:r>
        <w:rPr>
          <w:b/>
        </w:rPr>
        <w:t>🇰🇷 국내 영향</w:t>
      </w:r>
    </w:p>
    <w:p>
      <w:r>
        <w:t>중동발 물류 대란이 현실화되면서 수출 한국에 비상등이 켜졌으며, 의왕 내륙컨테이너기지(ICD)에 화물차들이 멈춰서는 상황이 발생하고 있는 것으로 보인다. 이는 호르무즈 봉쇄 여파로 인한 선복 부족 및 운항 지연이 내륙 물류 흐름에도 영향을 미치고 있음을 시사한다.</w:t>
      </w:r>
    </w:p>
    <w:p>
      <w:pPr>
        <w:pStyle w:val="Heading3"/>
      </w:pPr>
      <w:r>
        <w:t>기타 산업  (HIGH 138 / MEDIUM 234)</w:t>
      </w:r>
    </w:p>
    <w:p>
      <w:r>
        <w:rPr>
          <w:b/>
        </w:rPr>
        <w:t>🌐 해외 상황</w:t>
      </w:r>
    </w:p>
    <w:p>
      <w:r>
        <w:t>나프타 가격이 톤당 1,000달러를 돌파하며 2026년 석유화학 위기로 부상하고 있으며, LNG 시장은 공급 과잉에서 공급 충격으로 급반전됐다. 전 세계 비료 공급 위기가 식량 안보를 위협하고 있으며, ADB는 아시아·태평양 지역 비료·석유화학 가격이 이란 전쟁으로 급등할 것으로 전망했다. 나이지리아 LNG에 대한 글로벌 수요가 증가하고 있으며, 크루드오일은 미국 병력 추가 집결 소식에 추가 급등했다.</w:t>
      </w:r>
    </w:p>
    <w:p>
      <w:r>
        <w:rPr>
          <w:b/>
        </w:rPr>
        <w:t>🇰🇷 국내 영향</w:t>
      </w:r>
    </w:p>
    <w:p>
      <w:r>
        <w:t>한국은 에너지 위기로 인해 35년 만에 처음으로 차량 운행 제한을 검토하고 있으며, 석탄 발전소 폐쇄도 연기한 것으로 알려졌다. 한국석유공사는 산업은행·수출입은행과 중동 분쟁에 따른 에너지 위기 대응 방안을 논의하고 있다. 호주 사이클론으로 LNG 생산이 차질을 빚으면서 아시아 에너지 비상이 한국에도 영향을 주고 있으며, 이란 전쟁·호르무즈 봉쇄와 복합 작용해 에너지 수급 불안이 가중될 가능성이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11185</w:t>
            </w:r>
          </w:p>
        </w:tc>
        <w:tc>
          <w:tcPr>
            <w:tcW w:type="dxa" w:w="2946"/>
          </w:tcPr>
          <w:p>
            <w:r>
              <w:t>100.0%</w:t>
            </w:r>
          </w:p>
        </w:tc>
      </w:tr>
      <w:tr>
        <w:tc>
          <w:tcPr>
            <w:tcW w:type="dxa" w:w="2946"/>
          </w:tcPr>
          <w:p>
            <w:r>
              <w:t>HIGH</w:t>
            </w:r>
          </w:p>
        </w:tc>
        <w:tc>
          <w:tcPr>
            <w:tcW w:type="dxa" w:w="2946"/>
          </w:tcPr>
          <w:p>
            <w:r>
              <w:t>1188</w:t>
            </w:r>
          </w:p>
        </w:tc>
        <w:tc>
          <w:tcPr>
            <w:tcW w:type="dxa" w:w="2946"/>
          </w:tcPr>
          <w:p>
            <w:r>
              <w:t>10.6%</w:t>
            </w:r>
          </w:p>
        </w:tc>
      </w:tr>
      <w:tr>
        <w:tc>
          <w:tcPr>
            <w:tcW w:type="dxa" w:w="2946"/>
          </w:tcPr>
          <w:p>
            <w:r>
              <w:t>MEDIUM</w:t>
            </w:r>
          </w:p>
        </w:tc>
        <w:tc>
          <w:tcPr>
            <w:tcW w:type="dxa" w:w="2946"/>
          </w:tcPr>
          <w:p>
            <w:r>
              <w:t>2405</w:t>
            </w:r>
          </w:p>
        </w:tc>
        <w:tc>
          <w:tcPr>
            <w:tcW w:type="dxa" w:w="2946"/>
          </w:tcPr>
          <w:p>
            <w:r>
              <w:t>21.5%</w:t>
            </w:r>
          </w:p>
        </w:tc>
      </w:tr>
      <w:tr>
        <w:tc>
          <w:tcPr>
            <w:tcW w:type="dxa" w:w="2946"/>
          </w:tcPr>
          <w:p>
            <w:r>
              <w:t>LOW</w:t>
            </w:r>
          </w:p>
        </w:tc>
        <w:tc>
          <w:tcPr>
            <w:tcW w:type="dxa" w:w="2946"/>
          </w:tcPr>
          <w:p>
            <w:r>
              <w:t>2304</w:t>
            </w:r>
          </w:p>
        </w:tc>
        <w:tc>
          <w:tcPr>
            <w:tcW w:type="dxa" w:w="2946"/>
          </w:tcPr>
          <w:p>
            <w:r>
              <w:t>20.6%</w:t>
            </w:r>
          </w:p>
        </w:tc>
      </w:tr>
      <w:tr>
        <w:tc>
          <w:tcPr>
            <w:tcW w:type="dxa" w:w="2946"/>
          </w:tcPr>
          <w:p>
            <w:r>
              <w:t>NONE</w:t>
            </w:r>
          </w:p>
        </w:tc>
        <w:tc>
          <w:tcPr>
            <w:tcW w:type="dxa" w:w="2946"/>
          </w:tcPr>
          <w:p>
            <w:r>
              <w:t>5288</w:t>
            </w:r>
          </w:p>
        </w:tc>
        <w:tc>
          <w:tcPr>
            <w:tcW w:type="dxa" w:w="2946"/>
          </w:tcPr>
          <w:p>
            <w:r>
              <w:t>47.3%</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