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해상 공급망 모니터링 일일 분석 — 2026-04-22</w:t>
      </w:r>
    </w:p>
    <w:p>
      <w:pPr>
        <w:jc w:val="center"/>
      </w:pPr>
      <w:r>
        <w:rPr>
          <w:color w:val="808080"/>
          <w:sz w:val="18"/>
        </w:rPr>
        <w:t>생성 모델: claude-sonnet-4-6  |  HIGH+MEDIUM 590건 (해외 310건 / 국내 280건)</w:t>
      </w:r>
    </w:p>
    <w:p/>
    <w:p>
      <w:pPr>
        <w:pStyle w:val="Heading2"/>
      </w:pPr>
      <w:r>
        <w:t>오늘의 핵심</w:t>
      </w:r>
    </w:p>
    <w:p>
      <w:r>
        <w:t>트럼프 대통령이 미·이란 휴전을 무기한 연장 선언했음에도 이란은 호르무즈 해협에서 선박 3척을 나포하고 추가 공격을 감행하며 긴장이 고조되고 있다. 이란은 미국의 해군 봉쇄를 이유로 호르무즈 재개통이 불가능하다고 밝혔으며, 지뢰 제거에만 최대 6개월이 소요될 것이라는 보고가 나왔다. 브렌트유는 이란 위기를 배경으로 배럴당 101.91달러(+3.48%)로 상승하며 100달러를 돌파했고, LNG 가격은 2배 급등해 국내 전기요금 압박이 예고되고 있다. 30여 개국 군 대표가 호르무즈 해상 수송 보호를 논의하는 회동을 가졌으며, 국내에서는 코스피가 6,400선을 돌파하는 등 휴전 연장 기대감과 에너지 위기 우려가 혼재하는 양상이다. UN은 호르무즈 봉쇄로 인한 비료 선적 차질에 따른 식량 위기를 경고했으며, 국내 건설현장은 나프타 공급 쇼크로 멈춤 위기에 처한 것으로 보도됐다.</w:t>
      </w:r>
    </w:p>
    <w:p/>
    <w:p>
      <w:pPr>
        <w:pStyle w:val="Heading2"/>
      </w:pPr>
      <w:r>
        <w:t>카테고리별 분석</w:t>
      </w:r>
    </w:p>
    <w:p>
      <w:pPr>
        <w:pStyle w:val="Heading3"/>
      </w:pPr>
      <w:r>
        <w:t>안보·군사  (HIGH 145 / MEDIUM 205)</w:t>
      </w:r>
    </w:p>
    <w:p>
      <w:r>
        <w:rPr>
          <w:b/>
        </w:rPr>
        <w:t>🌐 해외 상황</w:t>
      </w:r>
    </w:p>
    <w:p>
      <w:r>
        <w:t>트럼프 대통령이 미·이란 휴전을 무기한 연장 선언한 직후 이란은 호르무즈 해협에서 선박 3척을 공격하고 MSC 연계 컨테이너선 2척을 포함한 복수의 선박을 나포했다. 이란은 미국의 해군 봉쇄가 지속되는 한 호르무즈 재개통이 불가능하다고 공식 선언했으며, 지뢰 제거에 최대 6개월이 소요될 것이라는 보고가 제기됐다. 미국과 이란이 각각 가장 효과적인 봉쇄를 경쟁하는 '포함 외교(gunboat diplomacy)' 양상이 전개되고 있다는 분석이 나왔다. UN은 호르무즈 봉쇄로 인한 인도주의적 위기를 경고했으며, 이란 IRGC는 MSC 연계 선박 2척을 나포하는 등 상업 해운에 대한 직접 위협을 이어가고 있다.</w:t>
      </w:r>
    </w:p>
    <w:p>
      <w:r>
        <w:rPr>
          <w:b/>
        </w:rPr>
        <w:t>🇰🇷 국내 영향</w:t>
      </w:r>
    </w:p>
    <w:p>
      <w:r>
        <w:t>30여 개국 군 대표가 호르무즈 해협 해상 수송 보호 방안을 논의하는 회동을 가졌으며, 한국도 이 논의에 관여하고 있는 것으로 보인다. 트럼프의 휴전 연장 발표 직후 이란이 선박 2척을 나포했다는 소식이 국내 언론에 집중 보도됐다. 이란이 2차 종전협상에 불참하고 무허가 통항 선박 3척을 나포했다는 보도도 나왔다. 호르무즈 해협의 긴장 지속은 중동산 원유·LNG를 주로 수입하는 한국의 에너지 수급에 직접적 위협 요인으로 작용하고 있다.</w:t>
      </w:r>
    </w:p>
    <w:p>
      <w:pPr>
        <w:pStyle w:val="Heading3"/>
      </w:pPr>
      <w:r>
        <w:t>운임·물류비  (HIGH 3 / MEDIUM 7)</w:t>
      </w:r>
    </w:p>
    <w:p>
      <w:r>
        <w:rPr>
          <w:b/>
        </w:rPr>
        <w:t>🌐 해외 상황</w:t>
      </w:r>
    </w:p>
    <w:p>
      <w:r>
        <w:t>호르무즈 봉쇄 여파가 파나마 운하 비용 상승으로 이어지고 있다는 보도가 나왔다. 발틱건화물운임지수(BDI)는 35포인트 상승한 2,675를 기록했다. 중고 유조선 시장에서는 프리미엄 가격이 형성되고 있으며, 하팍로이드는 제3자 피더 화물에 신규 할증료를 부과했다. 이란산 원유가 '유령선'을 통해 호르무즈를 통과해 밀수되고 있다는 보도도 제기됐으며, 트럼프 행정부는 유가·가스 가격 완화를 위한 해운 면제 갱신을 검토 중인 것으로 알려졌다.</w:t>
      </w:r>
    </w:p>
    <w:p>
      <w:r>
        <w:rPr>
          <w:b/>
        </w:rPr>
        <w:t>🇰🇷 국내 영향</w:t>
      </w:r>
    </w:p>
    <w:p>
      <w:r>
        <w:t>인천상공회의소는 중동 전쟁 여파로 인한 물류비 급등에 대응해 기업당 최대 15만 원 규모의 긴급 지원을 추진하고 있다. 5월 유류할증료가 급등할 것으로 예고되면서 여행·출장객들의 발권 연기 혼란이 발생하고 있다. VLCC 시장에서는 항로 붕괴로 운임은 유지되는 반면 수익은 감소하는 역설적 상황이 보도됐다. 핸디사이즈 시장에서는 운임보다 선복이 먼저 줄어드는 현상이 나타나며 대서양 선복 부족이 시황을 견인하고 있다.</w:t>
      </w:r>
    </w:p>
    <w:p>
      <w:pPr>
        <w:pStyle w:val="Heading3"/>
      </w:pPr>
      <w:r>
        <w:t>항만·화물  (HIGH 1 / MEDIUM 10)</w:t>
      </w:r>
    </w:p>
    <w:p>
      <w:r>
        <w:rPr>
          <w:b/>
        </w:rPr>
        <w:t>🌐 해외 상황</w:t>
      </w:r>
    </w:p>
    <w:p>
      <w:r>
        <w:t>러시아 드론이 우크라이나 오데사 항구를 공격해 전략 항만 인프라가 피해를 입었다. 인도는 미국산 LNG 선적을 추진하며 LNG 수입 다변화에 나섰고, 인도 다헤즈 터미널은 추가 용량에 대한 시운전 허가를 받았다. 아제르바이잔은 중동 분쟁으로 파키스탄이 LNG 부족을 겪는 상황에서 LNG 공급 대안으로 나설 준비가 됐다고 밝혔다. 베트남 하이퐁은 2026년 말까지 액체 화물에 대한 항만 인프라 사용료를 면제하기로 했다.</w:t>
      </w:r>
    </w:p>
    <w:p>
      <w:r>
        <w:rPr>
          <w:b/>
        </w:rPr>
        <w:t>🇰🇷 국내 영향</w:t>
      </w:r>
    </w:p>
    <w:p>
      <w:r>
        <w:t>정부는 요소수 수급을 위한 방중을 추진했으나 보류한 것으로 알려졌다. 국내 정유업계는 '7월 원유 위기설'에 대응해 수입이 끊겼던 러시아산 원유 도입을 검토하고 있다는 보도가 나왔다. 우크라이나가 드루즈바 송유관 복구를 완료해 헝가리·슬로바키아에 대한 공급이 재개됐으며, 러시아는 독일로 향하는 원유 공급을 차단하겠다고 밝혔다. 서산시는 대산항 항로 및 ESS 투자를 통한 해상물류·에너지 투트랙 도약을 추진하고 있으며, 인천항만공사(IPA)는 컨테이너 터미널 운영사와 대외 불확실성 대응 강화 방안을 논의했다.</w:t>
      </w:r>
    </w:p>
    <w:p>
      <w:pPr>
        <w:pStyle w:val="Heading3"/>
      </w:pPr>
      <w:r>
        <w:t>경제·금융  (HIGH 5 / MEDIUM 126)</w:t>
      </w:r>
    </w:p>
    <w:p>
      <w:r>
        <w:rPr>
          <w:b/>
        </w:rPr>
        <w:t>🌐 해외 상황</w:t>
      </w:r>
    </w:p>
    <w:p>
      <w:r>
        <w:t>브렌트유 선물(ICE Front Month)은 3.48% 상승해 배럴당 101.91달러에 마감하며 100달러를 돌파했다. 이란 위기를 배경으로 에너지 관련 주식이 급등 가능성이 제기됐으며, 글로벌 항공 운항 차질도 보도됐다. 이란 전쟁으로 인한 공급망 교란이 글로벌 에너지 가격 급등을 유발하고 있으며, EU 에너지 위원은 에너지 위기가 수개월에서 수년간 지속될 것이라고 경고했다. 중국은 이란 전쟁 상황에서 저가 원유를 확보하는 '수혜자'로 부상하고 있다는 분석이 나왔다.</w:t>
      </w:r>
    </w:p>
    <w:p>
      <w:r>
        <w:rPr>
          <w:b/>
        </w:rPr>
        <w:t>🇰🇷 국내 영향</w:t>
      </w:r>
    </w:p>
    <w:p>
      <w:r>
        <w:t>LNG 가격이 2배 급등하면서 올여름 전기요금 인상 압박이 예고되고 있다. 코스피는 중동 불안 속에서도 6,400선을 돌파하며 하루 만에 또다시 최고치를 경신했다. 뉴욕 증시는 미·이란 휴전 연장 발표에 상승 출발했으며, 나스닥은 기업 실적 기대감으로 장중 사상 최고치를 기록했다. 미 달러화는 이란의 호르무즈 봉쇄 강화 소식에 하락폭이 축소됐으며, 고유가 직격탄으로 인천항의 물동량이 위태롭다는 우려가 제기됐다.</w:t>
      </w:r>
    </w:p>
    <w:p>
      <w:pPr>
        <w:pStyle w:val="Heading3"/>
      </w:pPr>
      <w:r>
        <w:t>수산물  (HIGH 0 / MEDIUM 1)</w:t>
      </w:r>
    </w:p>
    <w:p>
      <w:r>
        <w:rPr>
          <w:b/>
        </w:rPr>
        <w:t>🇰🇷 국내 영향</w:t>
      </w:r>
    </w:p>
    <w:p>
      <w:r>
        <w:t>영덕 어민들은 면세유 가격 급등과 어획량 감소라는 이중고를 겪으며 출어를 포기하고 배를 묶어두고 있다고 호소했다.</w:t>
      </w:r>
    </w:p>
    <w:p>
      <w:pPr>
        <w:pStyle w:val="Heading3"/>
      </w:pPr>
      <w:r>
        <w:t>해운  (HIGH 2 / MEDIUM 11)</w:t>
      </w:r>
    </w:p>
    <w:p>
      <w:r>
        <w:rPr>
          <w:b/>
        </w:rPr>
        <w:t>🌐 해외 상황</w:t>
      </w:r>
    </w:p>
    <w:p>
      <w:r>
        <w:t>인도 국적 유조선 '데시 가리마(Desh Garima)'호가 미·이란 전쟁 중 호르무즈 해협을 통과해 뭄바이에 도착했다. 미국은 이란 연계 선박을 나포했으며, 이로 인해 해협 통항량이 감소하고 있다. 우크라이나는 드루즈바 송유관 수리를 완료하고 러시아산 원유의 유럽 수송을 재개했다. 스웨덴은 억류했던 러시아 선장을 석방했으며, 부르봉(Bourbon)사는 1억 8,000만 달러 이상 규모의 선박 13척을 추가해 함대를 확장했다.</w:t>
      </w:r>
    </w:p>
    <w:p>
      <w:r>
        <w:rPr>
          <w:b/>
        </w:rPr>
        <w:t>🇰🇷 국내 영향</w:t>
      </w:r>
    </w:p>
    <w:p>
      <w:r>
        <w:t>EU의 해운 규제 개정 압박으로 항만 전력·수소·암모니아 인프라 시장이 열리고 있다는 분석이 나왔다. 서산시는 대산항과 중국 석도항을 잇는 신규 항로 개설을 위한 업무 협약을 체결했다. 광양항은 CMA CGM의 신규 북미 컨테이너 항로를 유치했다. 포스코는 22년 숙원이었던 인도 현지화 전략이 본궤도에 오른 것으로 보도됐다.</w:t>
      </w:r>
    </w:p>
    <w:p>
      <w:pPr>
        <w:pStyle w:val="Heading3"/>
      </w:pPr>
      <w:r>
        <w:t>물류  (HIGH 0 / MEDIUM 8)</w:t>
      </w:r>
    </w:p>
    <w:p>
      <w:r>
        <w:rPr>
          <w:b/>
        </w:rPr>
        <w:t>🇰🇷 국내 영향</w:t>
      </w:r>
    </w:p>
    <w:p>
      <w:r>
        <w:t>코트라는 중동 전쟁 대응 물류 정보 및 맞춤형 지원 체계를 가동했으며, 중동 물류 차질을 겪는 기업에 현지비 최대 2,400만 원을 지원하기로 했다. 화물연대 파업으로 CU 편의점 공급망이 중단되는 사태가 발생했으며, 점주들이 용달차까지 동원하는 물류 대란이 벌어졌다. CU 물류 갈등은 다단계 하도급 구조로 인해 교섭이 장기화될 가능성이 있으며, 수사도 병행되고 있다. 베트남은 한국과의 공급망 협력 강화 의지를 밝히며 한국 기업에 최대한의 편의를 제공하겠다고 했다.</w:t>
      </w:r>
    </w:p>
    <w:p>
      <w:pPr>
        <w:pStyle w:val="Heading3"/>
      </w:pPr>
      <w:r>
        <w:t>기타 산업  (HIGH 6 / MEDIUM 56)</w:t>
      </w:r>
    </w:p>
    <w:p>
      <w:r>
        <w:rPr>
          <w:b/>
        </w:rPr>
        <w:t>🌐 해외 상황</w:t>
      </w:r>
    </w:p>
    <w:p>
      <w:r>
        <w:t>UN은 호르무즈에서 비료 선적이 차단되면서 대규모 식량 위기가 발생할 수 있다고 경고했다. 인도는 두 달 전 대비 약 2배 가격에 요소 250만 톤을 수입할 계획인 것으로 보도됐으며, 호주에서도 요소 부족이 파종 시기를 앞두고 산업계를 압박하고 있다. EU는 이란 분쟁으로 인한 비용 상승에 대응해 5월 19일 비료 전략을 발표할 예정이다. 콘돔 가격이 이란 전쟁 및 호르무즈 봉쇄 영향으로 최대 30% 상승할 것이라는 전망이 나왔으며, 미국 재무부는 이란 하르그섬 원유 저장고가 곧 포화 상태에 이를 것이라고 밝혔다.</w:t>
      </w:r>
    </w:p>
    <w:p>
      <w:r>
        <w:rPr>
          <w:b/>
        </w:rPr>
        <w:t>🇰🇷 국내 영향</w:t>
      </w:r>
    </w:p>
    <w:p>
      <w:r>
        <w:t>국내 건설현장은 중동발 나프타 공급 쇼크로 멈춤 위기에 처한 것으로 보도됐다. 중동 공급망 차단으로 원료·소재 수요가 OCI로 집중되면서 유가 강세와 판가 상승에 힘입어 실적이 개선된 것으로 나타났다. 이 대통령은 한·베트남 정상회담에서 에너지 안보 강화 및 공급망 안전을 위한 긴밀한 협력을 강조했으며, 양국은 원전 협력 등 MOU 12건을 체결하고 핵심광물 공급망 협력도 가속화하기로 했다. 중동 전쟁으로 유출된 기름이 우주에서도 관측될 만큼 광범위하게 바다를 오염시키고 있다는 보도도 나왔다.</w:t>
      </w:r>
    </w:p>
    <w:p>
      <w:r>
        <w:br w:type="page"/>
      </w:r>
    </w:p>
    <w:p>
      <w:pPr>
        <w:pStyle w:val="Heading2"/>
      </w:pPr>
      <w:r>
        <w:t>통계 요약</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rPr>
              <w:t>구분</w:t>
            </w:r>
          </w:p>
        </w:tc>
        <w:tc>
          <w:tcPr>
            <w:tcW w:type="dxa" w:w="2946"/>
          </w:tcPr>
          <w:p>
            <w:r>
              <w:rPr>
                <w:b/>
              </w:rPr>
              <w:t>건수</w:t>
            </w:r>
          </w:p>
        </w:tc>
        <w:tc>
          <w:tcPr>
            <w:tcW w:type="dxa" w:w="2946"/>
          </w:tcPr>
          <w:p>
            <w:r>
              <w:rPr>
                <w:b/>
              </w:rPr>
              <w:t>비중</w:t>
            </w:r>
          </w:p>
        </w:tc>
      </w:tr>
      <w:tr>
        <w:tc>
          <w:tcPr>
            <w:tcW w:type="dxa" w:w="2946"/>
          </w:tcPr>
          <w:p>
            <w:r>
              <w:t>총 수집</w:t>
            </w:r>
          </w:p>
        </w:tc>
        <w:tc>
          <w:tcPr>
            <w:tcW w:type="dxa" w:w="2946"/>
          </w:tcPr>
          <w:p>
            <w:r>
              <w:t>2968</w:t>
            </w:r>
          </w:p>
        </w:tc>
        <w:tc>
          <w:tcPr>
            <w:tcW w:type="dxa" w:w="2946"/>
          </w:tcPr>
          <w:p>
            <w:r>
              <w:t>100.0%</w:t>
            </w:r>
          </w:p>
        </w:tc>
      </w:tr>
      <w:tr>
        <w:tc>
          <w:tcPr>
            <w:tcW w:type="dxa" w:w="2946"/>
          </w:tcPr>
          <w:p>
            <w:r>
              <w:t>HIGH</w:t>
            </w:r>
          </w:p>
        </w:tc>
        <w:tc>
          <w:tcPr>
            <w:tcW w:type="dxa" w:w="2946"/>
          </w:tcPr>
          <w:p>
            <w:r>
              <w:t>162</w:t>
            </w:r>
          </w:p>
        </w:tc>
        <w:tc>
          <w:tcPr>
            <w:tcW w:type="dxa" w:w="2946"/>
          </w:tcPr>
          <w:p>
            <w:r>
              <w:t>5.5%</w:t>
            </w:r>
          </w:p>
        </w:tc>
      </w:tr>
      <w:tr>
        <w:tc>
          <w:tcPr>
            <w:tcW w:type="dxa" w:w="2946"/>
          </w:tcPr>
          <w:p>
            <w:r>
              <w:t>MEDIUM</w:t>
            </w:r>
          </w:p>
        </w:tc>
        <w:tc>
          <w:tcPr>
            <w:tcW w:type="dxa" w:w="2946"/>
          </w:tcPr>
          <w:p>
            <w:r>
              <w:t>428</w:t>
            </w:r>
          </w:p>
        </w:tc>
        <w:tc>
          <w:tcPr>
            <w:tcW w:type="dxa" w:w="2946"/>
          </w:tcPr>
          <w:p>
            <w:r>
              <w:t>14.4%</w:t>
            </w:r>
          </w:p>
        </w:tc>
      </w:tr>
      <w:tr>
        <w:tc>
          <w:tcPr>
            <w:tcW w:type="dxa" w:w="2946"/>
          </w:tcPr>
          <w:p>
            <w:r>
              <w:t>LOW</w:t>
            </w:r>
          </w:p>
        </w:tc>
        <w:tc>
          <w:tcPr>
            <w:tcW w:type="dxa" w:w="2946"/>
          </w:tcPr>
          <w:p>
            <w:r>
              <w:t>473</w:t>
            </w:r>
          </w:p>
        </w:tc>
        <w:tc>
          <w:tcPr>
            <w:tcW w:type="dxa" w:w="2946"/>
          </w:tcPr>
          <w:p>
            <w:r>
              <w:t>15.9%</w:t>
            </w:r>
          </w:p>
        </w:tc>
      </w:tr>
      <w:tr>
        <w:tc>
          <w:tcPr>
            <w:tcW w:type="dxa" w:w="2946"/>
          </w:tcPr>
          <w:p>
            <w:r>
              <w:t>NONE</w:t>
            </w:r>
          </w:p>
        </w:tc>
        <w:tc>
          <w:tcPr>
            <w:tcW w:type="dxa" w:w="2946"/>
          </w:tcPr>
          <w:p>
            <w:r>
              <w:t>1905</w:t>
            </w:r>
          </w:p>
        </w:tc>
        <w:tc>
          <w:tcPr>
            <w:tcW w:type="dxa" w:w="2946"/>
          </w:tcPr>
          <w:p>
            <w:r>
              <w:t>64.2%</w:t>
            </w:r>
          </w:p>
        </w:tc>
      </w:tr>
    </w:tbl>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