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2026-07-03</w:t>
      </w:r>
    </w:p>
    <w:p>
      <w:pPr>
        <w:jc w:val="center"/>
      </w:pPr>
      <w:r>
        <w:rPr>
          <w:color w:val="808080"/>
          <w:sz w:val="18"/>
        </w:rPr>
        <w:t>생성 모델: claude-sonnet-4-6  |  HIGH+MEDIUM 111건 (해외 0건 / 국내 111건)</w:t>
      </w:r>
    </w:p>
    <w:p/>
    <w:p>
      <w:pPr>
        <w:pStyle w:val="Heading2"/>
      </w:pPr>
      <w:r>
        <w:t>오늘의 핵심</w:t>
      </w:r>
    </w:p>
    <w:p>
      <w:r>
        <w:t>호르무즈 해협 통항량이 봉쇄 이전 하루 10척에서 36~48척으로 5배 급증하며 정상화가 50% 수준에 근접하고 있으나[11][12][13][14], 이란 협상대표 갈리바프는 미국의 해협 간섭을 허용하지 않겠다고 밝히고 연간 62조 원 규모의 통행료 요구를 고수하면서 미·이란 종전 협상은 장기 교착 상태에 빠져 있다[1][2][5]. 씨티은행은 호르무즈 정상화 시 국제유가가 연말 배럴당 60달러선까지 하락할 수 있다고 전망했으며[26][27][28], 코스피는 8,000선을 회복하고 원·달러 환율은 1,520원대로 급락하는 등 금융시장은 빠르게 반응하고 있다[31][32]. 한국 해운사 장금마리타임은 전쟁 직전 약 70억 달러(10조 원)를 투자해 VLCC 선단을 대거 확보, 글로벌 유조선 시장 점유율 17%를 차지하며 시장의 큰손으로 부상했다[41][42][43]. 한편 미·이란 휴전에도 불구하고 선원 8,000명이 여전히 발이 묶여 있어 호르무즈 재개는 '반쪽 정상화'에 그치고 있다[39].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 / MEDIUM 18)</w:t>
      </w:r>
    </w:p>
    <w:p>
      <w:r>
        <w:rPr>
          <w:b/>
        </w:rPr>
        <w:t>🇰🇷 국내 영향</w:t>
      </w:r>
    </w:p>
    <w:p>
      <w:r>
        <w:t>이란 협상대표 갈리바프는 호르무즈 해협에 대한 미국의 간섭을 허용하지 않겠다고 공개 선언했다[1]. 이란은 연간 62조 원 규모의 통행료 요구를 포기하지 않겠다는 입장을 고수하고 있으며, 동결 자금 해제 제안에도 협상 태도를 바꾸지 않고 있다[5]. 이란은 미승인 항로에 특수부대를 투입하는 등 호르무즈 통제를 강화하고 있어[3] 협상 타결 전망이 불투명하다. 독일 검찰은 노르트스트림 파이프라인 폭파가 우크라이나 정부의 지시에 의한 것이라고 발표했다[6][7]. 이재명 대통령은 나토 순방에서 K방산 세일즈와 몽골 핵심광물 공급망 협력 확대를 추진할 예정이다[9][10].</w:t>
      </w:r>
    </w:p>
    <w:p>
      <w:pPr>
        <w:pStyle w:val="Heading3"/>
      </w:pPr>
      <w:r>
        <w:t>운임·물류비  (HIGH 7 / MEDIUM 6)</w:t>
      </w:r>
    </w:p>
    <w:p>
      <w:r>
        <w:rPr>
          <w:b/>
        </w:rPr>
        <w:t>🇰🇷 국내 영향</w:t>
      </w:r>
    </w:p>
    <w:p>
      <w:r>
        <w:t>호르무즈 해협 통항량은 60일 무료 통행 조치 효과로 봉쇄 이전 하루 10척에서 36~48척으로 5배 급증하며 정상화가 50% 수준에 근접했다[11][12][13][14][15][16]. 미·이란 휴전에도 불구하고 글로벌 해운운임은 10주 연속 상승세를 이어가고 있으며, 중동 운임은 하락세를 보이고 있다[19]. 중동 전쟁 여파로 물류비 폭등과 납기 지연이 발생하며 중소기업 피해가 확산되고 있다[18]. 장금마리타임은 전쟁 직전 10조 원을 투자해 유조선 시장의 큰손으로 부상했다[20]. 호르무즈 봉쇄가 글로벌 해상 물류 지도를 바꾸는 우회 항로 재편이 진행 중인 것으로 보인다[17].</w:t>
      </w:r>
    </w:p>
    <w:p>
      <w:pPr>
        <w:pStyle w:val="Heading3"/>
      </w:pPr>
      <w:r>
        <w:t>항만·화물  (HIGH 0 / MEDIUM 5)</w:t>
      </w:r>
    </w:p>
    <w:p>
      <w:r>
        <w:rPr>
          <w:b/>
        </w:rPr>
        <w:t>🇰🇷 국내 영향</w:t>
      </w:r>
    </w:p>
    <w:p>
      <w:r>
        <w:t>울산항의 6월 원유 반입량이 전월 대비 18.8% 증가했으며, 중동산 원유 비중이 80%를 웃돌았다[22][23]. 울산항은 중형 암모니아선에 이어 초대형선까지 친환경 벙커링 허브 구축에 속도를 내고 있다[21]. HD현대는 베트남 거점에서 첫 항만 크레인을 수주했다[24]. 부산항만공사(BPA)는 부산항에 첫 안티드론 방패를 도입하며 해상 병목 리스크에 선제 대응에 나섰다[25].</w:t>
      </w:r>
    </w:p>
    <w:p>
      <w:pPr>
        <w:pStyle w:val="Heading3"/>
      </w:pPr>
      <w:r>
        <w:t>경제·금융  (HIGH 3 / MEDIUM 44)</w:t>
      </w:r>
    </w:p>
    <w:p>
      <w:r>
        <w:rPr>
          <w:b/>
        </w:rPr>
        <w:t>🇰🇷 국내 영향</w:t>
      </w:r>
    </w:p>
    <w:p>
      <w:r>
        <w:t>씨티은행은 호르무즈 정상화를 근거로 국제유가가 연말 배럴당 60달러선까지 하락할 수 있다고 전망했다[26][27][28]. 코스피는 5.76% 급등하며 8,000선을 회복했고, 원·달러 환율은 1,525원대로 급락했다[31]. 환율은 미국 고용 지표 부진으로 30원 급락하는 등 변동성이 크며, 일부에서는 1,600원 가능성을 열어둬야 한다는 전망도 나오고 있다[29][34]. 정부는 환율 급등에 대응해 정책금융 14.9조 원을 긴급 투입했으며[30], 고유가 지원금 2,000억 원을 투입해 상권 지원에 나섰다[35].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멸치 금어기가 해제됐으나 고유가와 조업 구역 축소라는 이중고로 멸치 조업이 어려움을 겪고 있다[36][37].</w:t>
      </w:r>
    </w:p>
    <w:p>
      <w:pPr>
        <w:pStyle w:val="Heading3"/>
      </w:pPr>
      <w:r>
        <w:t>해운  (HIGH 2 / MEDIUM 10)</w:t>
      </w:r>
    </w:p>
    <w:p>
      <w:r>
        <w:rPr>
          <w:b/>
        </w:rPr>
        <w:t>🇰🇷 국내 영향</w:t>
      </w:r>
    </w:p>
    <w:p>
      <w:r>
        <w:t>장금마리타임은 전쟁 직전 약 70억 달러(10조 원)를 투자해 VLCC 선단을 대거 확보, 글로벌 유조선 시장 점유율 17%를 차지하며 세계 최대 VLCC 선단 구축에 성공한 것으로 보인다[41][42][43]. 미·이란 휴전에도 불구하고 선원 8,000명이 여전히 발이 묶여 있어 호르무즈 통행은 반쪽 재개 상태에 머물고 있다[39]. 해수부는 북극항로 시범운항을 위한 화물 1,300TEU 확보를 완료하고 마지막 준비 단계에 있다고 밝혔다[40][44][45][47]. 삼성중공업은 싱가포르 쿠옥그룹과 LNG 등 조선·해양 분야 전략적 협력을 체결했다[46].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🇰🇷 국내 영향</w:t>
      </w:r>
    </w:p>
    <w:p>
      <w:r>
        <w:t>칭다오 항로가 벼랑 끝 상황에 처해 해법 모색이 진행 중인 것으로 보인다[48].</w:t>
      </w:r>
    </w:p>
    <w:p>
      <w:pPr>
        <w:pStyle w:val="Heading3"/>
      </w:pPr>
      <w:r>
        <w:t>기타 산업  (HIGH 0 / MEDIUM 6)</w:t>
      </w:r>
    </w:p>
    <w:p>
      <w:r>
        <w:rPr>
          <w:b/>
        </w:rPr>
        <w:t>🇰🇷 국내 영향</w:t>
      </w:r>
    </w:p>
    <w:p>
      <w:r>
        <w:t>일본 최대 정유사 에네오스는 중동 원유 의존도 축소를 검토 중이며[50], 이란은 7년 만에 일본에 원유 판매를 타진하고 있어 제재 유예 연장 여부가 관건이다[51]. 키르기스스탄은 우크라이나 드론 공격으로 러시아 정유시설이 파손된 여파로 연료 부족 사태를 겪고 있다[53]. 농가 10곳 중 8곳이 유류비가 21% 이상 상승했다고 응답하며 2026년 하반기 자재 지원을 요청하고 있다[54]. 정부는 농축산물 할인에 3,000억 원을 투입해 먹거리 물가 안정에 나섰다[49].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1486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19</w:t>
            </w:r>
          </w:p>
        </w:tc>
        <w:tc>
          <w:tcPr>
            <w:tcW w:type="dxa" w:w="2946"/>
          </w:tcPr>
          <w:p>
            <w:r>
              <w:t>1.3%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92</w:t>
            </w:r>
          </w:p>
        </w:tc>
        <w:tc>
          <w:tcPr>
            <w:tcW w:type="dxa" w:w="2946"/>
          </w:tcPr>
          <w:p>
            <w:r>
              <w:t>6.2%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205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1170</w:t>
            </w:r>
          </w:p>
        </w:tc>
        <w:tc>
          <w:tcPr>
            <w:tcW w:type="dxa" w:w="2946"/>
          </w:tcPr>
          <w:p>
            <w:r>
              <w:t>78.7%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