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2026-08-03</w:t>
      </w:r>
    </w:p>
    <w:p>
      <w:pPr>
        <w:jc w:val="center"/>
      </w:pPr>
      <w:r>
        <w:rPr>
          <w:color w:val="808080"/>
          <w:sz w:val="18"/>
        </w:rPr>
        <w:t>생성 모델: claude-sonnet-4-6  |  HIGH+MEDIUM 298건 (해외 142건 / 국내 156건)</w:t>
      </w:r>
    </w:p>
    <w:p/>
    <w:p>
      <w:pPr>
        <w:pStyle w:val="Heading2"/>
      </w:pPr>
      <w:r>
        <w:t>오늘의 핵심</w:t>
      </w:r>
    </w:p>
    <w:p>
      <w:r>
        <w:t>트럼프 대통령이 대이란 공격을 보류하고 협상 재개를 선언하면서 국제유가가 하루 5~6.9% 급락했으며[48][55][57], 이란과 오만은 호르무즈 해협 2개 루트를 단일 중간 루트로 전환하는 협상을 막바지 단계에서 진행 중인 것으로 보인다[17][28]. 그러나 이란은 미국과의 직접 협상을 공식 부인하고 호르무즈 전면 재개방 제안도 거부했으며[12][13][15], 이란 혁명수비대는 호르무즈 해협 상공에서 미국 MQ-9 드론을 격추했다고 주장해 긴장이 완전히 해소되지 않은 상태다[14][18][19]. 사우디아라비아는 후티 봉쇄 위협에 대응해 다국적 홍해 방어 동맹을 결성했으며[5], 사우디 유조선 6척이 아덴만을 포기하고 남아프리카 경유 25일 이상 우회 항로를 택하고 있다[29]. 국내에서는 삼성중공업이 유럽 선사와 원유운반선 2척을 추가 수주해 상선 부문 연간 목표를 조기 초과 달성했고[69][70][71], 에쓰오일은 정제마진·윤활유 호조로 2분기 영업이익 9,650억 원을 기록하며 흑자전환에 성공했다[85][88][89].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73 / MEDIUM 90)</w:t>
      </w:r>
    </w:p>
    <w:p>
      <w:r>
        <w:rPr>
          <w:b/>
        </w:rPr>
        <w:t>🌐 해외 상황</w:t>
      </w:r>
    </w:p>
    <w:p>
      <w:r>
        <w:t>트럼프 대통령이 대이란 대규모 공격을 취소하고 협상 재개를 선언했으나[1][6], 이란은 미국과의 협상을 공식 부인했다[2][6]. 이란과 오만은 호르무즈 해협 2개 루트를 단일 중간 루트로 전환하는 최종 합의에 근접한 것으로 보이며[9], 트럼프 대통령은 미국이 호르무즈 해협을 통제하고 있다고 주장했다[4]. 미군은 5월 이후 1,000척 이상의 선박이 호르무즈 해협을 통과하도록 지원했다[8]. 사우디아라비아는 미국-이란 전쟁 위협에 대응해 다국적 홍해 방어 동맹을 결성했으며[5], 후티의 새로운 전선 확대와 이란의 공격 확장이 걸프 국가들의 우회 항로 대안을 위협하고 해상 위험을 확대할 수 있다는 우려가 제기됐다[7][10]. EU 군함은 지중해에서 제재 대상 러시아 그림자 함대 유조선을 또 한 척 나포했다[3].</w:t>
      </w:r>
    </w:p>
    <w:p>
      <w:r>
        <w:rPr>
          <w:b/>
        </w:rPr>
        <w:t>🇰🇷 국내 영향</w:t>
      </w:r>
    </w:p>
    <w:p>
      <w:r>
        <w:t>미국과 이스라엘이 해상 봉쇄에 이어 이란 육상 봉쇄까지 검토 중인 것으로 보도됐다[11]. 이란은 호르무즈 해협 전면 재개방 제안을 거부했으며[12][13], 이란 혁명수비대는 호르무즈 해협 상공에서 미국 MQ-9(리퍼) 드론을 격추했다고 주장했다[14][18][19]. 협상이 재개됐으나 휴전까지는 여전히 난관이 많다는 평가가 나오고 있으며[16], 트럼프 대통령은 호르무즈·핵 합의가 임박했다고 언급했다[20]. 이란이 호르무즈 해협 2개 루트를 단일 중간 루트로 바꾸는 협상을 진행 중이라는 보도도 있어[17], 통행료 현실화 가능성이 제기되고 있다[28].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오만 해안 인근에서 유조선 부근 폭발이 보고됐다[21].</w:t>
      </w:r>
    </w:p>
    <w:p>
      <w:r>
        <w:rPr>
          <w:b/>
        </w:rPr>
        <w:t>🇰🇷 국내 영향</w:t>
      </w:r>
    </w:p>
    <w:p>
      <w:r>
        <w:t>이집트 수에즈 운하 인근에서 규모 5.6의 지진이 발생했으며, 해당 지역에서는 드문 강진으로 긴장감이 높아졌다[22].</w:t>
      </w:r>
    </w:p>
    <w:p>
      <w:pPr>
        <w:pStyle w:val="Heading3"/>
      </w:pPr>
      <w:r>
        <w:t>운임·물류비  (HIGH 5 / MEDIUM 4)</w:t>
      </w:r>
    </w:p>
    <w:p>
      <w:r>
        <w:rPr>
          <w:b/>
        </w:rPr>
        <w:t>🌐 해외 상황</w:t>
      </w:r>
    </w:p>
    <w:p>
      <w:r>
        <w:t>호르무즈 해협을 통한 원유 교통량이 미국-이스라엘과 이란 간 갈등 속에서 새로운 최고치에 도달했다[23]. 사우디아라비아는 후티 봉쇄 위협에도 불구하고 얀부 항을 통해 석유 수출을 늘리고 있으나[24], 사우디의 석유 우회 항로는 용량 및 안보 한계에 직면한 것으로 보인다[25]. 유럽에서는 라인강 수위가 기록적 저점으로 하락하면서 물류 대란이 전개되고 있으며[26], 글로벌 화물 시장에서는 5가지 신호가 운송 용량 부족을 가리키고 있다[27].</w:t>
      </w:r>
    </w:p>
    <w:p>
      <w:r>
        <w:rPr>
          <w:b/>
        </w:rPr>
        <w:t>🇰🇷 국내 영향</w:t>
      </w:r>
    </w:p>
    <w:p>
      <w:r>
        <w:t>이란·오만 협상이 막바지에 접어들면서 호르무즈 해협 '자발적 통행료' 현실화 가능성이 제기됐다[28]. 사우디 유조선 6척이 아덴만을 포기하고 남아프리카 경유 25일 이상 우회 항로를 선택하고 있다[29]. 8월 유류할증료는 5단계 하락해 약 19만 원 할인 효과가 발생했다[30]. 컨테이너 해상운임은 하락세가 꺾이고 KCCI가 3주 만에 반등했다[31].</w:t>
      </w:r>
    </w:p>
    <w:p>
      <w:pPr>
        <w:pStyle w:val="Heading3"/>
      </w:pPr>
      <w:r>
        <w:t>항만·화물  (HIGH 1 / MEDIUM 5)</w:t>
      </w:r>
    </w:p>
    <w:p>
      <w:r>
        <w:rPr>
          <w:b/>
        </w:rPr>
        <w:t>🌐 해외 상황</w:t>
      </w:r>
    </w:p>
    <w:p>
      <w:r>
        <w:t>사우디 얀부 항은 후티 위협에도 불구하고 원유 환적이 활발히 이루어지며 후티 봉쇄 이후 가장 바쁜 날을 기록했다[32][33]. 세계은행은 동아시아·태평양 항만이 현대화를 위해 연간 120억 달러의 투자가 필요하다고 밝혔다[34]. 카자흐스탄은 CPC를 통한 석유 선적을 재개했으며 셰브론이 이를 확인했다[35]. 파푸아뉴기니는 LNG 수출이 안정적으로 확보되어 있다고 밝혔다[36].</w:t>
      </w:r>
    </w:p>
    <w:p>
      <w:r>
        <w:rPr>
          <w:b/>
        </w:rPr>
        <w:t>🇰🇷 국내 영향</w:t>
      </w:r>
    </w:p>
    <w:p>
      <w:r>
        <w:t>6월 울산항 물동량은 자동차·부품 수출 호조에도 불구하고 감소한 것으로 나타났다[37].</w:t>
      </w:r>
    </w:p>
    <w:p>
      <w:pPr>
        <w:pStyle w:val="Heading3"/>
      </w:pPr>
      <w:r>
        <w:t>경제·금융  (HIGH 2 / MEDIUM 69)</w:t>
      </w:r>
    </w:p>
    <w:p>
      <w:r>
        <w:rPr>
          <w:b/>
        </w:rPr>
        <w:t>🌐 해외 상황</w:t>
      </w:r>
    </w:p>
    <w:p>
      <w:r>
        <w:t>트럼프 대통령의 이란 공격 보류 및 협상 재개 선언으로 국제유가가 급락했으며, 브렌트유와 WTI 원유 가격이 각각 약 5% 하락했다[38][39]. 애널리스트들은 지정학적 위험 완화와 공급 증가로 8월 원유 가격이 약세 편향의 박스권에 머물 가능성이 있다고 전망했다[40]. 트럼프의 이란 정책 반전으로 유럽 가스 가격도 급락했다[42]. 반면 에너지 기업들은 분쟁으로 인한 유가 급등으로 대규모 이익을 거뒀으며[43][44], 엑슨모빌과 셰브론의 이익이 급증했다[45]. 인도는 ONGC 망갈루루 저장 시설의 절반을 전략 비축유로 유지하는 새로운 석유 안보 계획을 발표했다[46]. OPEC+는 7개 회원국이 하루 18만 8,000배럴 증산을 결정했다[47].</w:t>
      </w:r>
    </w:p>
    <w:p>
      <w:r>
        <w:rPr>
          <w:b/>
        </w:rPr>
        <w:t>🇰🇷 국내 영향</w:t>
      </w:r>
    </w:p>
    <w:p>
      <w:r>
        <w:t>트럼프의 이란 공격 보류 소식에 국제유가가 하루 5~6.9% 급락했으며, 미국 원유(WTI)는 80.79달러를 기록했다[48][55][57]. 미국 증시는 이란 협상 기대와 유가 급락·실적 기대에 상승했으며, 나스닥은 1.3% 올랐다[53][54]. 코스피는 역대급 폭등 이후 5% 급락하며 6,200선으로 후퇴했고[50][52], 모건스탠리는 코스피 9,000 목표를 제시하며 비중 확대를 권고했다[51]. 미국과 일본의 엔화 공동 개입이 확인되면서 원화 및 수출 기업에도 파장이 예상된다[49]. 사우디 유조선 최소 8척이 이집트로 향하면서 브렌트유가 7% 상승하는 장면도 있었다[56].</w:t>
      </w:r>
    </w:p>
    <w:p>
      <w:pPr>
        <w:pStyle w:val="Heading3"/>
      </w:pPr>
      <w:r>
        <w:t>해운  (HIGH 6 / MEDIUM 17)</w:t>
      </w:r>
    </w:p>
    <w:p>
      <w:r>
        <w:rPr>
          <w:b/>
        </w:rPr>
        <w:t>🌐 해외 상황</w:t>
      </w:r>
    </w:p>
    <w:p>
      <w:r>
        <w:t>클락슨스는 호르무즈 위기가 해운 호황을 이끌면서 상반기 사상 최대 이익을 기록했다[58]. 그리스 LNG 선박이 해상 사건 이후 호르무즈 해협을 안전하게 통과했으며[60][64], 사우디 석유를 실은 인도행 유조선이 바브엘만데브를 통과했다[62]. 사우디 유조선 2척이 주말 동안 홍해를 빠져나갔다[65]. 러시아 화물을 실은 유조선은 홍해 U턴 이후 아프리카를 우회하는 항로를 택했다[61]. 제재 대상 대형 유조선 그룹이 북극해 항로(NSR) 빙상 호송을 준비 중이다[63]. 유럽 ETS 개정이 해운 경쟁력 강화 기회로 논의되고 있다[66].</w:t>
      </w:r>
    </w:p>
    <w:p>
      <w:r>
        <w:rPr>
          <w:b/>
        </w:rPr>
        <w:t>🇰🇷 국내 영향</w:t>
      </w:r>
    </w:p>
    <w:p>
      <w:r>
        <w:t>후티 봉쇄 2주간 중국 관련 선박 22척이 바브엘만데브를 무사 통과했다[67]. 삼성중공업은 유럽 선사와 원유운반선 2척을 추가 계약하며 상선 부문 연간 수주 목표를 조기 초과 달성했으며, 올해 상선 부문 누적 수주액은 58억 달러에 달한다[69][70][71][72][73][74]. 울산항은 친환경 선박 연료 수요 확보를 위해 척당 1,000만 원의 인센티브를 제공하며 녹색 선박 유치에 나서고 있다[75][76].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유럽의 최악 폭염·가뭄으로 물류 동맥 역할을 하는 수로가 말라붙는 물류 교란이 발생하고 있다[77]. LX인터내셔널은 물류·트레이딩 실적에 힘입어 2분기 영업이익이 114% 증가했다[78].</w:t>
      </w:r>
    </w:p>
    <w:p>
      <w:pPr>
        <w:pStyle w:val="Heading3"/>
      </w:pPr>
      <w:r>
        <w:t>기타 산업  (HIGH 1 / MEDIUM 21)</w:t>
      </w:r>
    </w:p>
    <w:p>
      <w:r>
        <w:rPr>
          <w:b/>
        </w:rPr>
        <w:t>🌐 해외 상황</w:t>
      </w:r>
    </w:p>
    <w:p>
      <w:r>
        <w:t>엑슨모빌은 시장 교란, 특히 정제 마진 혜택으로 실적 목표를 달성했다[79]. 우크라이나 드론 공격으로 러시아 석유 정제량이 24년 만에 최저 수준으로 떨어졌다[80]. 아르헨티나 바카 무에르타 유전 파이프라인이 사이버 공격을 받았다[81]. 유럽은 디젤 공급 확보를 위해 제한된 시장을 활용하고 있다[82]. 터키는 이라크 석유 파이프라인 계약을 1년 연장했다[83]. AI 붐과 서아시아 위기로 인쇄회로기판(PCB) 부족 및 가격 상승이 전자 산업에서 발생하고 있다[84].</w:t>
      </w:r>
    </w:p>
    <w:p>
      <w:r>
        <w:rPr>
          <w:b/>
        </w:rPr>
        <w:t>🇰🇷 국내 영향</w:t>
      </w:r>
    </w:p>
    <w:p>
      <w:r>
        <w:t>에쓰오일은 고유가 효과와 정제마진·윤활유 호조로 2분기 영업이익 9,650억 원을 기록하며 흑자전환했다[85][88][89]. 중동 전쟁 장기화로 세계 윤활기유 공급 대란이 발생하면서 국내 정유사들이 2분기 수혜를 입었으며[93][94], 윤활기유가 정유사의 수출 효자 품목으로 부상했다[92]. 중동 전쟁 영향으로 석유화학 업계도 반짝 흑자를 기록했으며[86], OPEC+는 다음 달 하루 18만 8,000배럴 증산을 결정했으나 실제 공급 증가 여부는 전쟁 상황에 달려 있다[87]. 중동전쟁이 건설업 등 실물경제 전반의 에너지·원자재 수급에도 영향을 미치고 있어 긴급 점검이 이루어지고 있다[90][91].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2362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89</w:t>
            </w:r>
          </w:p>
        </w:tc>
        <w:tc>
          <w:tcPr>
            <w:tcW w:type="dxa" w:w="2946"/>
          </w:tcPr>
          <w:p>
            <w:r>
              <w:t>3.8%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209</w:t>
            </w:r>
          </w:p>
        </w:tc>
        <w:tc>
          <w:tcPr>
            <w:tcW w:type="dxa" w:w="2946"/>
          </w:tcPr>
          <w:p>
            <w:r>
              <w:t>8.8%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321</w:t>
            </w:r>
          </w:p>
        </w:tc>
        <w:tc>
          <w:tcPr>
            <w:tcW w:type="dxa" w:w="2946"/>
          </w:tcPr>
          <w:p>
            <w:r>
              <w:t>13.6%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1743</w:t>
            </w:r>
          </w:p>
        </w:tc>
        <w:tc>
          <w:tcPr>
            <w:tcW w:type="dxa" w:w="2946"/>
          </w:tcPr>
          <w:p>
            <w:r>
              <w:t>73.8%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