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2026-04-14</w:t>
      </w:r>
    </w:p>
    <w:p>
      <w:pPr>
        <w:jc w:val="center"/>
      </w:pPr>
      <w:r>
        <w:rPr>
          <w:color w:val="808080"/>
          <w:sz w:val="18"/>
        </w:rPr>
        <w:t>생성 모델: claude-sonnet-4-6  |  HIGH+MEDIUM 637건 (해외 273건 / 국내 364건)</w:t>
      </w:r>
    </w:p>
    <w:p/>
    <w:p>
      <w:pPr>
        <w:pStyle w:val="Heading2"/>
      </w:pPr>
      <w:r>
        <w:t>오늘의 핵심</w:t>
      </w:r>
    </w:p>
    <w:p>
      <w:r>
        <w:t>미국이 호르무즈 해협 봉쇄를 공식 선언한 첫날, CENTCOM은 24시간 내 무단 통과 선박 0건을 발표했으나 미국 제재 대상 중국 유조선이 해협을 통과하며 봉쇄 실효성에 의문이 제기되고 있다. 한국 정부는 서울이 이란 측에 한국 관련 선박 정보를 공유하며 호르무즈 통항 확보에 나섰고, 트럼프 대통령은 한국이 이란 문제에서 협조하지 않았다고 공개 비판했다. IEA는 이란 전쟁 여파로 올해 원유 공급이 하루 150만 배럴 감소할 것으로 전망했으며, IMF는 세계 성장률 전망을 3.3%에서 3.1%로 하향 조정하고 이란 전쟁 악화 시 2%대 추락 가능성을 경고했다. 국내 전국 휘발유 가격이 리터당 2,000원에 근접했고, 전쟁보험료가 봉쇄 이전 대비 10배 폭등하며 정부가 긴급 지원에 나섰다. FAO는 호르무즈 교란이 글로벌 식량 충격을 촉발할 수 있다고 경고했으며, 항공 제트연료 공급 부족으로 유럽 항공사들이 EU에 개입을 촉구하는 등 에너지 위기가 다방면으로 확산되고 있다.</w:t>
      </w:r>
    </w:p>
    <w:p/>
    <w:p>
      <w:pPr>
        <w:pStyle w:val="Heading2"/>
      </w:pPr>
      <w:r>
        <w:t>카테고리별 분석</w:t>
      </w:r>
    </w:p>
    <w:p>
      <w:pPr>
        <w:pStyle w:val="Heading3"/>
      </w:pPr>
      <w:r>
        <w:t>안보·군사  (HIGH 113 / MEDIUM 161)</w:t>
      </w:r>
    </w:p>
    <w:p>
      <w:r>
        <w:rPr>
          <w:b/>
        </w:rPr>
        <w:t>🌐 해외 상황</w:t>
      </w:r>
    </w:p>
    <w:p>
      <w:r>
        <w:t>미국은 호르무즈 해협 봉쇄 첫날 6척의 선박을 회항시켰으며 CENTCOM은 24시간 내 무단 통과 0건이라고 발표했다. 그러나 미국 제재 대상 중국 연계 유조선 '리치 스타리'호가 해협을 통과하며 봉쇄 실효성에 의문이 제기됐고, 이란 연계 선박들도 해협을 항행 중인 것으로 보도됐다. 오만 인근 해상에서는 벌크선이 발사체에 피격되는 사건이 발생해 호르무즈 외 인근 해역으로도 해양 위협이 확산되고 있음이 확인됐다. 미국은 호르무즈 기뢰 제거를 위한 소해함을 중동에 파견했으며, 대규모 해군 전력을 집결시켜 봉쇄를 강화하고 있다. 이란은 호르무즈를 통한 선적 일시 중단을 검토 중인 것으로 보이며, 이는 미국과의 충돌 회피 및 협상 재개를 노린 행보로 분석된다.</w:t>
      </w:r>
    </w:p>
    <w:p>
      <w:r>
        <w:rPr>
          <w:b/>
        </w:rPr>
        <w:t>🇰🇷 국내 영향</w:t>
      </w:r>
    </w:p>
    <w:p>
      <w:r>
        <w:t>서울은 이란 측에 한국 관련 선박 정보를 공유하며 호르무즈 통항 확보를 위한 외교적 노력을 기울이고 있다. 트럼프 대통령은 한국이 이란 문제에서 협조하지 않았다고 공개 비판해 한-미 간 외교적 긴장이 고조되고 있다. 한국 대통령은 이란 전쟁의 충격에 대비하면서 평화를 촉구하는 입장을 표명했다. KOSPI는 미-이란 협상 기대감에 장중 6,000선을 돌파했으며, 원화도 미-이란 대화 재개 기대로 강세를 보였다. 협상 앞두고 무력 충돌 우려도 병존하는 상황으로, 한국의 호르무즈 통항 안전 확보 여부가 에너지 수급의 핵심 변수로 부상했다.</w:t>
      </w:r>
    </w:p>
    <w:p>
      <w:pPr>
        <w:pStyle w:val="Heading3"/>
      </w:pPr>
      <w:r>
        <w:t>해양안전  (HIGH 0 / MEDIUM 5)</w:t>
      </w:r>
    </w:p>
    <w:p>
      <w:r>
        <w:rPr>
          <w:b/>
        </w:rPr>
        <w:t>🌐 해외 상황</w:t>
      </w:r>
    </w:p>
    <w:p>
      <w:r>
        <w:t>러시아 드론이 우크라이나 항구를 공격해 파나마 선적 선박이 피해를 입었다. 오만 해상에서 벌크선이 발사체에 피격되는 사건이 발생해 호르무즈 인근 해역의 해양 안전 위협이 확대되고 있다.</w:t>
      </w:r>
    </w:p>
    <w:p>
      <w:r>
        <w:rPr>
          <w:b/>
        </w:rPr>
        <w:t>🇰🇷 국내 영향</w:t>
      </w:r>
    </w:p>
    <w:p>
      <w:r>
        <w:t>창원해경은 LNG 선박 사고 대응 훈련을 로봇을 동원해 실시했다. 억류 선원 귀환을 기다리는 상황이 지속되고 있는 것으로 보인다.</w:t>
      </w:r>
    </w:p>
    <w:p>
      <w:pPr>
        <w:pStyle w:val="Heading3"/>
      </w:pPr>
      <w:r>
        <w:t>운임·물류비  (HIGH 10 / MEDIUM 1)</w:t>
      </w:r>
    </w:p>
    <w:p>
      <w:r>
        <w:rPr>
          <w:b/>
        </w:rPr>
        <w:t>🌐 해외 상황</w:t>
      </w:r>
    </w:p>
    <w:p>
      <w:r>
        <w:t>호르무즈 봉쇄 첫날 일부 선박들이 해협 통과를 회피하면서 해운 업계 단체는 선박들이 호르무즈를 기피하고 있으며 운송 비용이 상승하고 있다고 밝혔다. 인도 제약 공급망은 서아시아 위기로 운임·보험료·원자재 비용이 동반 상승하는 압박을 받고 있다. 식품 업계는 호르무즈 봉쇄로 유가·운임·리스크 비용이 동시에 상승하면서 긴장 상태에 있다. 이란은 인도 선박에 호르무즈 통과 '통행료'를 부과한다는 보도를 부인했다. 러시아 항구 교란으로 인한 인도의 우랄산 원유 공급 리스크도 IEA가 별도로 경고했다.</w:t>
      </w:r>
    </w:p>
    <w:p>
      <w:r>
        <w:rPr>
          <w:b/>
        </w:rPr>
        <w:t>🇰🇷 국내 영향</w:t>
      </w:r>
    </w:p>
    <w:p>
      <w:r>
        <w:t>호르무즈 봉쇄 여파로 전쟁보험료가 봉쇄 이전 대비 10배 폭등했으며, 정부는 긴급 지원에 나섰다. 운임 및 보험료 급등은 한국 수출입 기업의 물류 비용 부담을 직접적으로 가중시키고 있는 것으로 보인다.</w:t>
      </w:r>
    </w:p>
    <w:p>
      <w:pPr>
        <w:pStyle w:val="Heading3"/>
      </w:pPr>
      <w:r>
        <w:t>항만·화물  (HIGH 4 / MEDIUM 5)</w:t>
      </w:r>
    </w:p>
    <w:p>
      <w:r>
        <w:rPr>
          <w:b/>
        </w:rPr>
        <w:t>🌐 해외 상황</w:t>
      </w:r>
    </w:p>
    <w:p>
      <w:r>
        <w:t>한국이 카자흐스탄으로부터 원유 공급 계약에 근접했다는 보도가 나왔다. 러시아 로스네프트는 드론 공격을 받은 노보로시스크 항구에서 투압세 정유소로 원유를 우회 공급하고 있다.</w:t>
      </w:r>
    </w:p>
    <w:p>
      <w:r>
        <w:rPr>
          <w:b/>
        </w:rPr>
        <w:t>🇰🇷 국내 영향</w:t>
      </w:r>
    </w:p>
    <w:p>
      <w:r>
        <w:t>정부는 석유공사 여신한도를 30억 달러 추가 확대하고 공급망 위기 품목 대응에 나섰다. 관세청은 미국산 원유에 대해 입항 전 수입통관 절차를 적용해 에너지 수급 안정을 지원하고 있다. 중동 산유국들이 한국 비축기지에 관심을 보이고 있으며, 정부는 에틸렌 등 석화 원료 수급 조정에 나섰다. 해수부 장관이 인천을 방문해 항만물류 위기 지원 방안을 모색하고 있으며, 인천항만공사는 항만시설 긴급복구 체계를 강화했다. 부산항은 MSC와 디지털 물류 협력을 추진하며 환적 경쟁력 강화에 나서고 있다.</w:t>
      </w:r>
    </w:p>
    <w:p>
      <w:pPr>
        <w:pStyle w:val="Heading3"/>
      </w:pPr>
      <w:r>
        <w:t>경제·금융  (HIGH 13 / MEDIUM 205)</w:t>
      </w:r>
    </w:p>
    <w:p>
      <w:r>
        <w:rPr>
          <w:b/>
        </w:rPr>
        <w:t>🌐 해외 상황</w:t>
      </w:r>
    </w:p>
    <w:p>
      <w:r>
        <w:t>IEA는 이란 전쟁 여파로 글로벌 원유 수요가 코로나19 이후 최대 분기 감소를 기록할 것으로 전망했으며, 하루 80,000배럴 감소를 경고했다. IMF는 올해 세계 성장률 전망을 3.3%에서 3.1%로 하향 조정했으며, 이란 전쟁이 악화될 경우 2%대로 추락할 수 있다고 경고했다. 월스트리트는 이란 전쟁이 경기침체를 유발할 조건을 분석 중이며, '전쟁 인플레이션(Warflation)'이 에너지 가격을 넘어 광범위하게 확산될 것이라는 우려가 제기됐다. 국제유가는 90달러 초중반대로 하락하는 흐름도 일부 관측됐다.</w:t>
      </w:r>
    </w:p>
    <w:p>
      <w:r>
        <w:rPr>
          <w:b/>
        </w:rPr>
        <w:t>🇰🇷 국내 영향</w:t>
      </w:r>
    </w:p>
    <w:p>
      <w:r>
        <w:t>KOSPI는 미-이란 협상 기대감에 장중 6,000선을 돌파했으며, 원화도 미-이란 대화 재개 기대로 강세를 보였다. 전국 휘발유 가격이 리터당 2,000원에 근접했으며, 산업계는 복합 위기 상황에 처해 있다. 정부의 석유 최고가격제는 오히려 소비를 늘리고 정유사 부담을 가중시키는 역설적 효과를 낳고 있다는 지적이 나왔다. 미국 증시는 상승폭을 확대하는 흐름을 보였으며, 한국 관련 미국 상장 레버리지 ETF(KORU)도 9.1% 상승했다.</w:t>
      </w:r>
    </w:p>
    <w:p>
      <w:pPr>
        <w:pStyle w:val="Heading3"/>
      </w:pPr>
      <w:r>
        <w:t>수산물  (HIGH 0 / MEDIUM 2)</w:t>
      </w:r>
    </w:p>
    <w:p>
      <w:r>
        <w:rPr>
          <w:b/>
        </w:rPr>
        <w:t>🇰🇷 국내 영향</w:t>
      </w:r>
    </w:p>
    <w:p>
      <w:r>
        <w:t>고유가로 인해 성어기임에도 어민들이 조업할수록 손해를 보는 상황이 발생하고 있다.</w:t>
      </w:r>
    </w:p>
    <w:p>
      <w:pPr>
        <w:pStyle w:val="Heading3"/>
      </w:pPr>
      <w:r>
        <w:t>해운  (HIGH 14 / MEDIUM 3)</w:t>
      </w:r>
    </w:p>
    <w:p>
      <w:r>
        <w:rPr>
          <w:b/>
        </w:rPr>
        <w:t>🌐 해외 상황</w:t>
      </w:r>
    </w:p>
    <w:p>
      <w:r>
        <w:t>미국 제재 대상 중국 연계 유조선들이 미국의 봉쇄에도 불구하고 호르무즈 해협을 통과했으며, 이란 연계 선박들도 해협을 항행 중인 것으로 확인됐다. 인도는 호르무즈 해협에 억류된 15척의 선박 회수를 추진하고 있다. 봉쇄 직전 이란 관련 선박 2척이 해협을 통과했으며, 이란 거래 선박에 대한 통행 불허 조치로 중국행 유조선 2척이 회항한 것으로 보도됐다.</w:t>
      </w:r>
    </w:p>
    <w:p>
      <w:r>
        <w:rPr>
          <w:b/>
        </w:rPr>
        <w:t>🇰🇷 국내 영향</w:t>
      </w:r>
    </w:p>
    <w:p>
      <w:r>
        <w:t>한국 정부는 이란 측에 한국 관련 선박 정보를 공유하며 호르무즈 통항 확보를 위한 외교적 노력을 기울이고 있다. 이란이 호르무즈를 통한 선적 일시 중단을 검토 중인 것으로 보여 한국 선박의 통항 가능성에 불확실성이 커지고 있다. 부산항에서는 카캐리어 LNG 벙커링 상업 운영이 처음으로 시작되며 친환경 연료 공급이 확대됐다.</w:t>
      </w:r>
    </w:p>
    <w:p>
      <w:pPr>
        <w:pStyle w:val="Heading3"/>
      </w:pPr>
      <w:r>
        <w:t>물류  (HIGH 0 / MEDIUM 4)</w:t>
      </w:r>
    </w:p>
    <w:p>
      <w:r>
        <w:rPr>
          <w:b/>
        </w:rPr>
        <w:t>🌐 해외 상황</w:t>
      </w:r>
    </w:p>
    <w:p>
      <w:r>
        <w:t>UPS가 인천 허브를 기존 대비 4배 규모로 확장했다.</w:t>
      </w:r>
    </w:p>
    <w:p>
      <w:r>
        <w:rPr>
          <w:b/>
        </w:rPr>
        <w:t>🇰🇷 국내 영향</w:t>
      </w:r>
    </w:p>
    <w:p>
      <w:r>
        <w:t>기술보증기금이 중동 사태에 대응하는 수출 중소기업을 방문해 현장 점검을 실시했다.</w:t>
      </w:r>
    </w:p>
    <w:p>
      <w:pPr>
        <w:pStyle w:val="Heading3"/>
      </w:pPr>
      <w:r>
        <w:t>기타 산업  (HIGH 51 / MEDIUM 46)</w:t>
      </w:r>
    </w:p>
    <w:p>
      <w:r>
        <w:rPr>
          <w:b/>
        </w:rPr>
        <w:t>🌐 해외 상황</w:t>
      </w:r>
    </w:p>
    <w:p>
      <w:r>
        <w:t>FAO는 호르무즈 교란이 글로벌 식량 충격을 촉발할 수 있다고 경고했으며, 6~9개월 내 글로벌 식량 부족이 현실화될 수 있다는 분석도 제기됐다. 항공 제트연료 공급 부족으로 유럽에서 항공편 감축이 우려되고 있으며, 항공사들은 EU에 개입을 촉구했다. 일본 TOTO는 나프타 부족으로 신규 욕실 주문을 중단했다. 이란 전쟁으로 인한 글로벌 천연가스 부족은 미국 기업들에게 반사이익을 주고 있다. 쉘은 카타르 가스 생산 차질 속에서도 트레이딩 이익이 급증했다고 보고했다.</w:t>
      </w:r>
    </w:p>
    <w:p>
      <w:r>
        <w:rPr>
          <w:b/>
        </w:rPr>
        <w:t>🇰🇷 국내 영향</w:t>
      </w:r>
    </w:p>
    <w:p>
      <w:r>
        <w:t>IEA는 이란 전쟁 여파로 올해 원유 공급이 하루 150만 배럴 감소할 것으로 전망했으며, 해협이 재개방되더라도 연간 공급 차질이 불가피하다고 밝혔다. 정부는 15일부터 석화 원료 수급 안정화 조치를 시행하고, 정유사에 대체 원유 2개월치 확보를 지시했다. 나프타 공급 부족으로 의료 원료 품귀 현상이 발생하고 있으며, 원료 다변화 필요성이 제기됐다. 산업은행·수출입은행은 석유공사 여신한도를 30억 달러 확대해 중동발 원유 비상 상황에 대응하고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2985</w:t>
            </w:r>
          </w:p>
        </w:tc>
        <w:tc>
          <w:tcPr>
            <w:tcW w:type="dxa" w:w="2946"/>
          </w:tcPr>
          <w:p>
            <w:r>
              <w:t>100.0%</w:t>
            </w:r>
          </w:p>
        </w:tc>
      </w:tr>
      <w:tr>
        <w:tc>
          <w:tcPr>
            <w:tcW w:type="dxa" w:w="2946"/>
          </w:tcPr>
          <w:p>
            <w:r>
              <w:t>HIGH</w:t>
            </w:r>
          </w:p>
        </w:tc>
        <w:tc>
          <w:tcPr>
            <w:tcW w:type="dxa" w:w="2946"/>
          </w:tcPr>
          <w:p>
            <w:r>
              <w:t>205</w:t>
            </w:r>
          </w:p>
        </w:tc>
        <w:tc>
          <w:tcPr>
            <w:tcW w:type="dxa" w:w="2946"/>
          </w:tcPr>
          <w:p>
            <w:r>
              <w:t>6.9%</w:t>
            </w:r>
          </w:p>
        </w:tc>
      </w:tr>
      <w:tr>
        <w:tc>
          <w:tcPr>
            <w:tcW w:type="dxa" w:w="2946"/>
          </w:tcPr>
          <w:p>
            <w:r>
              <w:t>MEDIUM</w:t>
            </w:r>
          </w:p>
        </w:tc>
        <w:tc>
          <w:tcPr>
            <w:tcW w:type="dxa" w:w="2946"/>
          </w:tcPr>
          <w:p>
            <w:r>
              <w:t>432</w:t>
            </w:r>
          </w:p>
        </w:tc>
        <w:tc>
          <w:tcPr>
            <w:tcW w:type="dxa" w:w="2946"/>
          </w:tcPr>
          <w:p>
            <w:r>
              <w:t>14.5%</w:t>
            </w:r>
          </w:p>
        </w:tc>
      </w:tr>
      <w:tr>
        <w:tc>
          <w:tcPr>
            <w:tcW w:type="dxa" w:w="2946"/>
          </w:tcPr>
          <w:p>
            <w:r>
              <w:t>LOW</w:t>
            </w:r>
          </w:p>
        </w:tc>
        <w:tc>
          <w:tcPr>
            <w:tcW w:type="dxa" w:w="2946"/>
          </w:tcPr>
          <w:p>
            <w:r>
              <w:t>435</w:t>
            </w:r>
          </w:p>
        </w:tc>
        <w:tc>
          <w:tcPr>
            <w:tcW w:type="dxa" w:w="2946"/>
          </w:tcPr>
          <w:p>
            <w:r>
              <w:t>14.6%</w:t>
            </w:r>
          </w:p>
        </w:tc>
      </w:tr>
      <w:tr>
        <w:tc>
          <w:tcPr>
            <w:tcW w:type="dxa" w:w="2946"/>
          </w:tcPr>
          <w:p>
            <w:r>
              <w:t>NONE</w:t>
            </w:r>
          </w:p>
        </w:tc>
        <w:tc>
          <w:tcPr>
            <w:tcW w:type="dxa" w:w="2946"/>
          </w:tcPr>
          <w:p>
            <w:r>
              <w:t>1913</w:t>
            </w:r>
          </w:p>
        </w:tc>
        <w:tc>
          <w:tcPr>
            <w:tcW w:type="dxa" w:w="2946"/>
          </w:tcPr>
          <w:p>
            <w:r>
              <w:t>64.1%</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