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2026-08-27</w:t>
      </w:r>
    </w:p>
    <w:p>
      <w:pPr>
        <w:jc w:val="center"/>
      </w:pPr>
      <w:r>
        <w:rPr>
          <w:color w:val="808080"/>
          <w:sz w:val="18"/>
        </w:rPr>
        <w:t>생성 모델: claude-sonnet-4-6  |  HIGH+MEDIUM 282건 (해외 185건 / 국내 97건)</w:t>
      </w:r>
    </w:p>
    <w:p/>
    <w:p>
      <w:pPr>
        <w:pStyle w:val="Heading2"/>
      </w:pPr>
      <w:r>
        <w:t>오늘의 핵심</w:t>
      </w:r>
    </w:p>
    <w:p>
      <w:r>
        <w:t>호르무즈 해협을 둘러싼 외교적 협상이 복잡하게 전개되는 가운데, 카타르 총리가 테헤란을 방문해 '항행 회랑' 설치 방안을 논의하고 이란-오만 간 통항 합의가 보도되었으나[1][4][12], 이란은 군함 통항 불가 입장을 고수하고 미국은 이란-오만 합의와 무관하게 자국이 해협을 통제하고 있다고 밝혔다[7][8]. 협상 진전 기대가 약화되면서 브렌트유는 89.68달러 수준에서 출렁였고[62], 유조선 피격 사건이 재발해 협상 불확실성이 지속되고 있다[1][13]. 발틱건화물지수(BDI)는 3,107포인트로 약 3개월 만에 최고치를 기록했으며[26][29], 인도의 원유 수입 비용은 호르무즈 해운 운임 급등으로 급증했다[31]. 국내에서는 LNG 가격이 5개월간 46% 상승해 서울에너지공사가 비상경영을 선언했고[61][93], 글로벌 정제 여력 부족 속에 국내 정유업계는 반사이익을 누리는 것으로 보인다[97].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64 / MEDIUM 83)</w:t>
      </w:r>
    </w:p>
    <w:p>
      <w:r>
        <w:rPr>
          <w:b/>
        </w:rPr>
        <w:t>🌐 해외 상황</w:t>
      </w:r>
    </w:p>
    <w:p>
      <w:r>
        <w:t>카타르 총리가 테헤란을 방문해 호르무즈 해협 긴장 완화를 논의하고, 이란-오만 간 통항 합의 및 '항행 회랑' 설치 제안이 검토되고 있다[1][4][5]. 그러나 이란은 군함 통항은 불가하다는 조건을 고수하고 있으며, 미국 측은 이란-오만 합의가 의미 없다며 미군이 호르무즈를 통제하고 있다고 밝혔다[7][8]. 이란은 미국의 조건 충족 전에는 해협을 재개방하지 않겠다는 입장을 표명했고[3], 협상 진행 중에도 유조선 추가 피격 사건이 발생했다[6][13]. 이란은 오만 회랑이 비어 있다고 주장하며 인도 유조선을 되돌려 보냈다고 밝혔으며[9], 미 해군 봉쇄로 이란 내 휘발유 부족 사태가 발생하고 있다는 보도도 나왔다[10].</w:t>
      </w:r>
    </w:p>
    <w:p>
      <w:r>
        <w:rPr>
          <w:b/>
        </w:rPr>
        <w:t>🇰🇷 국내 영향</w:t>
      </w:r>
    </w:p>
    <w:p>
      <w:r>
        <w:t>백악관은 이란과 현재 대화가 없으며 호르무즈는 개방 상태라고 밝혔고[11][14][16], 이란은 미국의 해상 봉쇄에도 원유 판매가 중단되지 않았다고 주장했다[15][17]. 카타르가 호르무즈 중재에 가세하면서 하루 500만 배럴 통항 문제가 논의되고 있으며[18], 이란 전쟁 6개월째를 맞아 '호르무즈 열렸다'는 주장과 '미 군함은 안 된다'는 이란 입장이 충돌하고 있다[19][20]. 협상 불확실성이 지속되는 상황에서 한국의 중동산 원유 수입 여건은 여전히 불안정한 상태로 보인다.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파나마 국적 선박 침몰 사고로 중국인 선원 2명이 구조되어 인도 오디샤주 파라딥으로 이송되었다[21].</w:t>
      </w:r>
    </w:p>
    <w:p>
      <w:r>
        <w:rPr>
          <w:b/>
        </w:rPr>
        <w:t>🇰🇷 국내 영향</w:t>
      </w:r>
    </w:p>
    <w:p>
      <w:r>
        <w:t>스텔라데이지호 침몰 사건과 관련해 선사가 해양심판의 과실 인정 결정에 불복해 취소 소송을 제기했으며[22], 22명 실종 사건의 선사 과실 여부를 둘러싼 법적 다툼이 법원으로 이어지고 있다[23].</w:t>
      </w:r>
    </w:p>
    <w:p>
      <w:pPr>
        <w:pStyle w:val="Heading3"/>
      </w:pPr>
      <w:r>
        <w:t>운임·물류비  (HIGH 6 / MEDIUM 8)</w:t>
      </w:r>
    </w:p>
    <w:p>
      <w:r>
        <w:rPr>
          <w:b/>
        </w:rPr>
        <w:t>🌐 해외 상황</w:t>
      </w:r>
    </w:p>
    <w:p>
      <w:r>
        <w:t>발틱건화물지수(BDI)가 3,107포인트로 약 3개월 만에 최고치를 기록했다[26][29]. 후티 위협으로 사우디아라비아가 아시아향 원유를 우회 수송하면서 운송 기간과 비용이 증가하고 있으며[24], 인도의 원유 수입 비용은 호르무즈 해운 운임 급등으로 급증했다[31]. 인도 BPCL은 호르무즈 해협을 통해 이라크산 원유를 수입하는 드문 위험을 감수했으며[27], 호르무즈를 통한 원유 흐름은 소폭 증가세를 보이고 있다[28][30].</w:t>
      </w:r>
    </w:p>
    <w:p>
      <w:r>
        <w:rPr>
          <w:b/>
        </w:rPr>
        <w:t>🇰🇷 국내 영향</w:t>
      </w:r>
    </w:p>
    <w:p>
      <w:r>
        <w:t>사우디아라비아가 이란·후티 위협으로 수에즈 운하를 통한 원유 수출량을 늘리고 있으며[32], 파나마·수에즈 운항 변화에 따라 해상운임이 노선별로 온도차를 보이고 있다[33]. 파나마 운하는 엘니뇨 가뭄으로 수량이 급감해 국가 비상사태가 선포되었고[34][35], 이로 인해 중남미 지역 물류비도 비상 상황에 처해 있다[36]. 말레이시아산 원유 FTA 원산지증명서 발급 기간이 184일에서 45일로 단축되어 수입 절차가 개선되었다[37].</w:t>
      </w:r>
    </w:p>
    <w:p>
      <w:pPr>
        <w:pStyle w:val="Heading3"/>
      </w:pPr>
      <w:r>
        <w:t>항만·화물  (HIGH 1 / MEDIUM 11)</w:t>
      </w:r>
    </w:p>
    <w:p>
      <w:r>
        <w:rPr>
          <w:b/>
        </w:rPr>
        <w:t>🌐 해외 상황</w:t>
      </w:r>
    </w:p>
    <w:p>
      <w:r>
        <w:t>카타르와 쿠웨이트는 호르무즈를 통한 전쟁 전 원유 수출량의 70%를 회복했다[38]. 중국 항만은 2026년 상반기에 1억 6,110만 TEU의 역대 최고 처리량을 기록했으며[41], 닝보-저우산항이 싱가포르를 제치고 세계 2위 컨테이너 항만으로 올라섰다[44]. 흑해 긴장으로 곡물 구매자들이 발트해 국가들로 공급처를 전환하고 있으며[39], 이라크는 호르무즈 외부의 바스라 원유 인도 입찰을 진행하고 있다[40][45].</w:t>
      </w:r>
    </w:p>
    <w:p>
      <w:r>
        <w:rPr>
          <w:b/>
        </w:rPr>
        <w:t>🇰🇷 국내 영향</w:t>
      </w:r>
    </w:p>
    <w:p>
      <w:r>
        <w:t>칭다오발 화물선이 712개 컨테이너 적재 능력에도 불구하고 4개만 싣고 입항하는 사례가 보고되어 화물 수급 불균형이 나타나고 있다[47]. 충남 서산시는 대산항 활성화를 통한 물류·크루즈 성장을 추진하고 있으며[46], 광양항은 우드펠릿 수입·유통 거점으로 육성될 예정이다[48]. 울산세관은 울산항을 이용한 마약 밀수 차단에 나섰다[49].</w:t>
      </w:r>
    </w:p>
    <w:p>
      <w:pPr>
        <w:pStyle w:val="Heading3"/>
      </w:pPr>
      <w:r>
        <w:t>경제·금융  (HIGH 0 / MEDIUM 52)</w:t>
      </w:r>
    </w:p>
    <w:p>
      <w:r>
        <w:rPr>
          <w:b/>
        </w:rPr>
        <w:t>🌐 해외 상황</w:t>
      </w:r>
    </w:p>
    <w:p>
      <w:r>
        <w:t>이란 협상 기대 약화로 국제 유가가 상승세를 보이고 있으며[51][52][55], 셸 CEO는 유가가 계속 오를 것이라고 경고한 바 있다[58]. 글로벌 정제 병목 현상이 유가 상승을 추가로 견인하고 있다는 분석이 나왔으며[53], 중동 전쟁과 유가 상승으로 캐나다 앨버타주는 94억 달러 적자 대신 20억 달러 흑자를 예상하고 있다[54][57]. 밀 선물 가격은 러시아-우크라이나 전쟁으로 흑해 수출이 위협받으면서 3년 만에 최고치를 기록했다[50].</w:t>
      </w:r>
    </w:p>
    <w:p>
      <w:r>
        <w:rPr>
          <w:b/>
        </w:rPr>
        <w:t>🇰🇷 국내 영향</w:t>
      </w:r>
    </w:p>
    <w:p>
      <w:r>
        <w:t>브렌트유가 89.68달러 수준에서 호르무즈 협상 보도에 따라 출렁이고 있으며[62], LNG 가격은 5개월간 46% 상승해 서울에너지공사가 비상경영을 선언했다[61]. 한국은행의 연속 금리 인상으로 원화 강세 가속화 가능성이 제기되고 있으며[67], 미국의 장기 국채 금리 급등이 한국 경제에 부담 요인으로 작용하고 있다[60]. 미국이 반도체 전면 관세 부과를 검토하고 있으며 서버까지 관세 확대를 검토 중이라는 보도가 나와 국내 반도체 산업에 위협 요인이 되고 있다[68][69]. 원자재 전문가는 내년 유가 100달러 돌파를 전망하는 반면 월가는 78달러 하락론을 제시하는 등 전망이 엇갈리고 있다[63].</w:t>
      </w:r>
    </w:p>
    <w:p>
      <w:pPr>
        <w:pStyle w:val="Heading3"/>
      </w:pPr>
      <w:r>
        <w:t>수산물  (HIGH 1 / MEDIUM 0)</w:t>
      </w:r>
    </w:p>
    <w:p>
      <w:r>
        <w:rPr>
          <w:b/>
        </w:rPr>
        <w:t>🌐 해외 상황</w:t>
      </w:r>
    </w:p>
    <w:p>
      <w:r>
        <w:t>UN은 해운 혼란이 글로벌 식량 공급을 위협하고 있다고 경고했다[70].</w:t>
      </w:r>
    </w:p>
    <w:p>
      <w:pPr>
        <w:pStyle w:val="Heading3"/>
      </w:pPr>
      <w:r>
        <w:t>해운  (HIGH 2 / MEDIUM 8)</w:t>
      </w:r>
    </w:p>
    <w:p>
      <w:r>
        <w:rPr>
          <w:b/>
        </w:rPr>
        <w:t>🌐 해외 상황</w:t>
      </w:r>
    </w:p>
    <w:p>
      <w:r>
        <w:t>이란-오만 협상이 진행 중임에도 호르무즈 통항은 여전히 제한적이며, 선사들은 수에즈 항로 복귀를 검토하고 있다[71]. 호르무즈를 통한 선박 통항량은 데이터상 소폭 증가를 보이고 있으며[72], MSC는 수에즈 운하 통항을 부분적으로 재개했다[73]. 반면 MSC는 공격이 지속되면서 노보로시스크 컨테이너 서비스를 중단했다[74][80].</w:t>
      </w:r>
    </w:p>
    <w:p>
      <w:r>
        <w:rPr>
          <w:b/>
        </w:rPr>
        <w:t>🇰🇷 국내 영향</w:t>
      </w:r>
    </w:p>
    <w:p>
      <w:r>
        <w:t>케이조선이 중형 석유화학제품운반선 6척을 잇따라 수주했으며[77], LS마린솔루션은 해저케이블 포설선 부족으로 중장기 성장이 전망된다[76]. 부산에서 네덜란드까지 북극항로가 개설되었으나[78], 북극항로를 중국에 빼앗길 수 있다는 우려도 제기되고 있다[79].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컨테이너 해운에서 항만 혼잡이 악화되고 있으며 책임 소재를 둘러싼 논의가 이어지고 있다[81].</w:t>
      </w:r>
    </w:p>
    <w:p>
      <w:pPr>
        <w:pStyle w:val="Heading3"/>
      </w:pPr>
      <w:r>
        <w:t>기타 산업  (HIGH 3 / MEDIUM 39)</w:t>
      </w:r>
    </w:p>
    <w:p>
      <w:r>
        <w:rPr>
          <w:b/>
        </w:rPr>
        <w:t>🌐 해외 상황</w:t>
      </w:r>
    </w:p>
    <w:p>
      <w:r>
        <w:t>글로벌 분쟁으로 하루 4,500만 배럴 규모의 원유 공급이 위협받고 있다[82]. 글로벌 가스 수요는 2025년 사상 최고치를 기록했으나 호르무즈 LNG 위기로 2026년에는 감소할 것으로 전망된다[83]. TotalEnergies는 제재를 받은 러시아 Arctic LNG 2 프로젝트의 지분 10%를 매각 완료했으며[84][85][89], Sempra는 텍사스에 대규모 LNG 확장 프로젝트 허가를 신청했다[88].</w:t>
      </w:r>
    </w:p>
    <w:p>
      <w:r>
        <w:rPr>
          <w:b/>
        </w:rPr>
        <w:t>🇰🇷 국내 영향</w:t>
      </w:r>
    </w:p>
    <w:p>
      <w:r>
        <w:t>DNV는 호르무즈 장기 위기가 고유가를 넘어 '석유 수요 파괴'를 촉발할 수 있다고 경고했다[92]. 서울에너지공사는 5개월간 46% 오른 가스비에 비상경영을 선언했으며[93], 나프타 수출 제한 조치가 내년 1월까지 연장되고 나프타·석화제품 수급 조정도 5개월 연장되었다[95][96]. 글로벌 정제 여력 부족 속에 국내 정유업계는 반사이익을 누리는 것으로 보이며[97], 에어리퀴드코리아가 랜섬웨어 피해를 입어 반도체 가스 공급망에 영향이 우려된다[98]. 한국의 리튬·희토류 해외 의존도가 100%에 달하는 가운데 핵심광물 대응 우선순위가 불투명하다는 지적이 나왔다[101].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2550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77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205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462</w:t>
            </w:r>
          </w:p>
        </w:tc>
        <w:tc>
          <w:tcPr>
            <w:tcW w:type="dxa" w:w="2946"/>
          </w:tcPr>
          <w:p>
            <w:r>
              <w:t>18.1%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1806</w:t>
            </w:r>
          </w:p>
        </w:tc>
        <w:tc>
          <w:tcPr>
            <w:tcW w:type="dxa" w:w="2946"/>
          </w:tcPr>
          <w:p>
            <w:r>
              <w:t>70.8%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