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2026-06-09</w:t>
      </w:r>
    </w:p>
    <w:p>
      <w:pPr>
        <w:jc w:val="center"/>
      </w:pPr>
      <w:r>
        <w:rPr>
          <w:color w:val="808080"/>
          <w:sz w:val="18"/>
        </w:rPr>
        <w:t>생성 모델: claude-sonnet-4-6  |  HIGH+MEDIUM 346건 (해외 213건 / 국내 133건)</w:t>
      </w:r>
    </w:p>
    <w:p/>
    <w:p>
      <w:pPr>
        <w:pStyle w:val="Heading2"/>
      </w:pPr>
      <w:r>
        <w:t>오늘의 핵심</w:t>
      </w:r>
    </w:p>
    <w:p>
      <w:r>
        <w:t>이란이 호르무즈 해협 인근에서 미군 아파치 헬기를 격추하자 트럼프 대통령이 '반드시 대응해야 한다'고 경고했으며[2][4][5], 동시에 '2~3일 내 이란과 합의 가능, 호르무즈 즉각 재개방' 가능성도 언급해 긴장과 협상이 동시에 진행 중이다[12][14][19]. 미 해군 F-18이 이란행 유조선을 추가 무력화하고[3], 이란은 홍해까지 통제 확대를 시사하는 등 봉쇄 범위 확장 위협이 제기됐다[11][15]. 한편 HMM 유조선 '유니버설 위너'호가 호르무즈를 통과해 200만 배럴 원유를 싣고 10일 울산 입항 예정이며[75][76][79], 호르무즈 해협 잔류 한국인 선원은 148명으로 파악됐다[13]. 이스라엘-이란 간 공격 중단 소식에 국제 유가가 하락하고 코스피가 8% 이상 급등하는 등 금융시장은 긴장 완화 기대를 반영했으나[49][59], 소비자물가는 2년 2개월 만에 3%를 돌파하고 원화 변동성은 17년 만에 최대 수준을 기록하는 등 실물경제 압박은 지속되고 있다[63][67].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52 / MEDIUM 134)</w:t>
      </w:r>
    </w:p>
    <w:p>
      <w:r>
        <w:rPr>
          <w:b/>
        </w:rPr>
        <w:t>🌐 해외 상황</w:t>
      </w:r>
    </w:p>
    <w:p>
      <w:r>
        <w:t>이란이 호르무즈 해협 인근에서 미군 아파치 헬기를 격추했으며, 트럼프 대통령은 '반드시 대응해야 한다'고 강력히 경고했다[2][4][5][6]. 미 해군 USS 에이브러햄 링컨 함재 F-18이 이란행 유조선을 추가로 무력화했고[3], 미군 헬기 승무원 2명은 드론 등을 통해 구조됐다[7][25][26]. 이라크도 호르무즈 봉쇄 지속에 대응해 수출 우회 경로 확보 작업을 강화하고 있으며[8], 미국 에너지 기관은 호르무즈 원유 수송이 3분기에 재개되고 완전 회복은 2027년에나 가능할 것으로 전망했다[1]. 트럼프 대통령은 한편으로 '이란과 협상이 막판 단계'이며 '2~3일 내 합의 가능, 호르무즈 즉각 재개방'을 언급하는 등 군사적 긴장과 외교적 협상이 동시에 진행 중이다[12][19].</w:t>
      </w:r>
    </w:p>
    <w:p>
      <w:r>
        <w:rPr>
          <w:b/>
        </w:rPr>
        <w:t>🇰🇷 국내 영향</w:t>
      </w:r>
    </w:p>
    <w:p>
      <w:r>
        <w:t>이란이 호르무즈에 이어 홍해까지 통제 확대를 시사하면서 한국의 에너지 수입 경로에 대한 이중 위협이 제기됐다[11][15]. 호르무즈 해협에는 한국인 선원 148명이 잔류 중인 것으로 파악됐다[13]. 한국 선박 나무호가 피격된 것과 관련해 정부는 '이란의 의도적 행위는 아닌 것으로 확인되나 엄중 항의했다'고 밝혔다[16]. 호르무즈 대안 경로로 튀르키예가 옛 오스만제국 철도 부활을 추진 중이라는 보도도 나왔다[17]. 트럼프의 협상 타결 가능성 언급에 뉴욕증시 선물이 상승하는 등 중동 긴장 완화 기대가 금융시장에 반영됐다[18].</w:t>
      </w:r>
    </w:p>
    <w:p>
      <w:pPr>
        <w:pStyle w:val="Heading3"/>
      </w:pPr>
      <w:r>
        <w:t>해양안전  (HIGH 4 / MEDIUM 5)</w:t>
      </w:r>
    </w:p>
    <w:p>
      <w:r>
        <w:rPr>
          <w:b/>
        </w:rPr>
        <w:t>🌐 해외 상황</w:t>
      </w:r>
    </w:p>
    <w:p>
      <w:r>
        <w:t>이란이 호르무즈 해협 인근에서 미군 아파치 헬기를 격추했으며[21], 미군 승무원 2명은 드론 구조 작전을 통해 구조됐다[25][28]. 미 해군의 미사일 공격을 받은 유조선 MT Marivex에 탑승해 있던 인도인 선원 24명이 오만 인근 해상에서 전원 구조됐으며[22][23][24][27], 인도 외교부는 구조 지원을 제공한 오만 정부에 감사를 표했다[9][10].</w:t>
      </w:r>
    </w:p>
    <w:p>
      <w:r>
        <w:rPr>
          <w:b/>
        </w:rPr>
        <w:t>🇰🇷 국내 영향</w:t>
      </w:r>
    </w:p>
    <w:p>
      <w:r>
        <w:t>미군 헬기가 호르무즈 인근에서 추락해 탑승자 2명이 구조됐다는 사실이 국내에도 보도됐다[29].</w:t>
      </w:r>
    </w:p>
    <w:p>
      <w:pPr>
        <w:pStyle w:val="Heading3"/>
      </w:pPr>
      <w:r>
        <w:t>운임·물류비  (HIGH 2 / MEDIUM 3)</w:t>
      </w:r>
    </w:p>
    <w:p>
      <w:r>
        <w:rPr>
          <w:b/>
        </w:rPr>
        <w:t>🌐 해외 상황</w:t>
      </w:r>
    </w:p>
    <w:p>
      <w:r>
        <w:t>파나마 운하 당국이 엘니뇨 영향으로 7월 3일부터 선박 흘수 제한을 추가 하향 조정할 예정이어서 통항 선박 규모 제약이 예상된다[30][31]. 이집트 항만의 컨테이너 물동량은 환적 무역 호조에 힘입어 2025년 24.3% 급증했다[32]. 미국 항공사들은 4월 한 달간 연료비로 65억 달러를 지출했으며, 글로벌 수익 전망치는 거의 절반 수준으로 하향 조정됐다[33].</w:t>
      </w:r>
    </w:p>
    <w:p>
      <w:pPr>
        <w:pStyle w:val="Heading3"/>
      </w:pPr>
      <w:r>
        <w:t>항만·화물  (HIGH 4 / MEDIUM 10)</w:t>
      </w:r>
    </w:p>
    <w:p>
      <w:r>
        <w:rPr>
          <w:b/>
        </w:rPr>
        <w:t>🌐 해외 상황</w:t>
      </w:r>
    </w:p>
    <w:p>
      <w:r>
        <w:t>쿠웨이트가 전쟁 이후 처음으로 아시아 구매자들에게 원유 공급을 제안했으며[35][38], ADNOC은 이란의 봉쇄에도 불구하고 원유 수출 판매 속도를 높이고 있다[36]. 미국의 수입 화물량은 전년 동기 대비 증가세를 이어갈 것으로 전망됐다[37].</w:t>
      </w:r>
    </w:p>
    <w:p>
      <w:r>
        <w:rPr>
          <w:b/>
        </w:rPr>
        <w:t>🇰🇷 국내 영향</w:t>
      </w:r>
    </w:p>
    <w:p>
      <w:r>
        <w:t>HMM 유조선이 호르무즈를 통과해 200만 배럴 원유를 싣고 10일 울산에 입항할 예정이다[39][40][75][79]. 인천항에서 독성 붉은불개미 220여 마리가 발견돼 검역당국이 긴급 방제 작업에 나섰다[42][43][46][47]. 인천항만공사는 수입 공컨테이너에 대한 유해생물 유입 방지 점검을 강화했다[45]. 여수광양항은 자동차 하역과 LNG 벙커링을 동시에 성공적으로 수행해 친환경 항만 경쟁력을 강화했으며[41][48], 부산항이 세계 각국 선사들의 기항지로 주목받고 있다는 보도도 나왔다[44].</w:t>
      </w:r>
    </w:p>
    <w:p>
      <w:pPr>
        <w:pStyle w:val="Heading3"/>
      </w:pPr>
      <w:r>
        <w:t>경제·금융  (HIGH 3 / MEDIUM 98)</w:t>
      </w:r>
    </w:p>
    <w:p>
      <w:r>
        <w:rPr>
          <w:b/>
        </w:rPr>
        <w:t>🌐 해외 상황</w:t>
      </w:r>
    </w:p>
    <w:p>
      <w:r>
        <w:t>이스라엘과 이란이 상호 공격을 중단하고 이란이 이스라엘에 대한 군사 행동 종료를 선언하자 국제 유가가 하락했다[49][50][51][54]. 트럼프의 이란 협상 타결 가능성 언급 이후에도 유가는 추가 하락세를 보였으며[55][58], 원유 가격은 기술적으로 하방 압력이 강해지는 흐름이다[56][57].</w:t>
      </w:r>
    </w:p>
    <w:p>
      <w:r>
        <w:rPr>
          <w:b/>
        </w:rPr>
        <w:t>🇰🇷 국내 영향</w:t>
      </w:r>
    </w:p>
    <w:p>
      <w:r>
        <w:t>이스라엘-이란 휴전 소식에 코스피가 8% 이상 급등하고 원화 가치도 큰 폭으로 상승했다[59]. 그러나 소비자물가는 2년 2개월 만에 3%를 돌파했으며[63], 원화 변동성은 17년 만에 최대 수준을 기록해 금융지주사의 대출 여력이 축소됐다[67]. 환율은 1,500원대 고환율이 지속되며 지역 기업들을 압박하고 있고[62], 원자잿값이 1년 새 700% 폭등했다는 중소기업 호소도 나왔다[94]. 대구시는 고유가 민생안정을 위한 추경예산을 편성했다[66].</w:t>
      </w:r>
    </w:p>
    <w:p>
      <w:pPr>
        <w:pStyle w:val="Heading3"/>
      </w:pPr>
      <w:r>
        <w:t>수산물  (HIGH 0 / MEDIUM 2)</w:t>
      </w:r>
    </w:p>
    <w:p>
      <w:r>
        <w:rPr>
          <w:b/>
        </w:rPr>
        <w:t>🌐 해외 상황</w:t>
      </w:r>
    </w:p>
    <w:p>
      <w:r>
        <w:t>서아시아 위기가 인도의 4월 차 수출에 타격을 줬으며, 인도 차 위원회는 전년 수준 수출량 달성을 목표로 하고 있다[69].</w:t>
      </w:r>
    </w:p>
    <w:p>
      <w:r>
        <w:rPr>
          <w:b/>
        </w:rPr>
        <w:t>🇰🇷 국내 영향</w:t>
      </w:r>
    </w:p>
    <w:p>
      <w:r>
        <w:t>중국 원양 선단이 전 세계 오징어의 70%를 싹쓸이하고 상어까지 남획하고 있다는 보도가 나왔다[70].</w:t>
      </w:r>
    </w:p>
    <w:p>
      <w:pPr>
        <w:pStyle w:val="Heading3"/>
      </w:pPr>
      <w:r>
        <w:t>해운  (HIGH 7 / MEDIUM 5)</w:t>
      </w:r>
    </w:p>
    <w:p>
      <w:r>
        <w:rPr>
          <w:b/>
        </w:rPr>
        <w:t>🌐 해외 상황</w:t>
      </w:r>
    </w:p>
    <w:p>
      <w:r>
        <w:t>카타르가 호르무즈 해협을 통해 LNG 탱커를 조용히 운항시켰으며, 카타르 통제 LNG 탱커 5척이 호르무즈를 통과 출항했다[71][72]. 그리스 선사 프로코피우가 VLCC 12척 신규 발주 계약을 체결했으며[73], NX그룹은 아시아-북미 간 신규 해상 화물 서비스를 출시했다[74].</w:t>
      </w:r>
    </w:p>
    <w:p>
      <w:r>
        <w:rPr>
          <w:b/>
        </w:rPr>
        <w:t>🇰🇷 국내 영향</w:t>
      </w:r>
    </w:p>
    <w:p>
      <w:r>
        <w:t>HMM 유조선 '유니버설 위너'호가 호르무즈를 통과해 200만 배럴 원유를 싣고 3주 만에 10일 울산에 도착할 예정이다[75][76][77][78][79]. 삼성중공업은 상반기에 FLNG 2기를 수주했으며 하반기 추가 수주에 나설 것으로 보인다[80]. 해양수산부는 북극항로 시범운항을 위한 선박·화물 확보 절차를 진행 중이며[82], 군산항은 중국 웨이하이와 연계한 컨테이너 정기선 신규 항로를 개설했다[81].</w:t>
      </w:r>
    </w:p>
    <w:p>
      <w:pPr>
        <w:pStyle w:val="Heading3"/>
      </w:pPr>
      <w:r>
        <w:t>기타 산업  (HIGH 3 / MEDIUM 14)</w:t>
      </w:r>
    </w:p>
    <w:p>
      <w:r>
        <w:rPr>
          <w:b/>
        </w:rPr>
        <w:t>🌐 해외 상황</w:t>
      </w:r>
    </w:p>
    <w:p>
      <w:r>
        <w:t>인도의 5월 연료 소비가 2.4% 증가한 반면 LPG 수요는 호르무즈 교란 영향으로 20% 급감했다[83]. 이스라엘이 이란 석유화학 플랜트를 공습했으며[84], 아시아의 석탄 수요는 LNG 공급 부족으로 2026년 7,000만 톤 급증할 것으로 전망됐다[85].</w:t>
      </w:r>
    </w:p>
    <w:p>
      <w:r>
        <w:rPr>
          <w:b/>
        </w:rPr>
        <w:t>🇰🇷 국내 영향</w:t>
      </w:r>
    </w:p>
    <w:p>
      <w:r>
        <w:t>고려아연 최윤범 회장이 캐나다에서 핵심광물 공급망 협력 확대를 강조하는 자원외교를 펼쳤다[88][89]. 나프타 가격 급등으로 일본에서 '흑백 과자봉지' 현상이 등장하는 등 석유화학 원료 가격 충격이 가시화되고 있다[90]. 가스공사는 원가 상승으로 미수금 부담이 커지고 있으며 해외사업 확대로 실적 방어에 나서고 있다[93]. BP 참여를 계기로 동해 가스전 개발이 전환점을 맞아야 한다는 주장도 제기됐다[91].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2524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75</w:t>
            </w:r>
          </w:p>
        </w:tc>
        <w:tc>
          <w:tcPr>
            <w:tcW w:type="dxa" w:w="2946"/>
          </w:tcPr>
          <w:p>
            <w:r>
              <w:t>3.0%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271</w:t>
            </w:r>
          </w:p>
        </w:tc>
        <w:tc>
          <w:tcPr>
            <w:tcW w:type="dxa" w:w="2946"/>
          </w:tcPr>
          <w:p>
            <w:r>
              <w:t>10.7%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329</w:t>
            </w:r>
          </w:p>
        </w:tc>
        <w:tc>
          <w:tcPr>
            <w:tcW w:type="dxa" w:w="2946"/>
          </w:tcPr>
          <w:p>
            <w:r>
              <w:t>13.0%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1849</w:t>
            </w:r>
          </w:p>
        </w:tc>
        <w:tc>
          <w:tcPr>
            <w:tcW w:type="dxa" w:w="2946"/>
          </w:tcPr>
          <w:p>
            <w:r>
              <w:t>73.3%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