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2026-04-08</w:t>
      </w:r>
    </w:p>
    <w:p>
      <w:pPr>
        <w:jc w:val="center"/>
      </w:pPr>
      <w:r>
        <w:rPr>
          <w:color w:val="808080"/>
          <w:sz w:val="18"/>
        </w:rPr>
        <w:t>생성 모델: claude-sonnet-4-6  |  HIGH+MEDIUM 847건 (해외 399건 / 국내 448건)</w:t>
      </w:r>
    </w:p>
    <w:p/>
    <w:p>
      <w:pPr>
        <w:pStyle w:val="Heading2"/>
      </w:pPr>
      <w:r>
        <w:t>오늘의 핵심</w:t>
      </w:r>
    </w:p>
    <w:p>
      <w:r>
        <w:t>2026년 4월 8일, 미국-이란 간 2주 휴전 합의가 발표되면서 호르무즈 해협 봉쇄 국면이 부분적 완화 국면으로 전환되었다. 휴전 발표 직후 WTI 유가는 최대 19% 급락하며 6년 만에 최대 폭 하락을 기록했고, 뉴욕증시 다우존스는 2.96%, 나스닥은 3.2% 급등하는 등 글로벌 금융시장이 강하게 반응했다. 그러나 휴전 선언 이후에도 이스라엘의 레바논 공습이 지속되면서 이란이 재차 유조선 통행을 차단하는 등 해협 상황은 불안정하게 반복되고 있으며, 휴전 이후 선박 2척만이 해협을 통과한 것으로 보고되어 800여 척의 선박 적체가 여전히 해소되지 않은 상태다. 이란은 배럴당 1달러의 통행료를 암호화폐(비트코인)로 징수하는 방안을 추진 중이나, 한국 정부는 현재 통행료 지급을 검토하지 않는다고 밝혔다. 호르무즈 해협에 발이 묶인 한국 선박 26척 중 5척만 한국행을 재개한 것으로 보이며, 정부는 나머지 선박 복귀 작전에 착수했다. 국내 정유·석유화학 업계는 나프타 공급 부족 해소 기대와 함께 중동 의존도 축소 필요성을 동시에 인식하고 있는 것으로 보인다.</w:t>
      </w:r>
    </w:p>
    <w:p/>
    <w:p>
      <w:pPr>
        <w:pStyle w:val="Heading2"/>
      </w:pPr>
      <w:r>
        <w:t>카테고리별 분석</w:t>
      </w:r>
    </w:p>
    <w:p>
      <w:pPr>
        <w:pStyle w:val="Heading3"/>
      </w:pPr>
      <w:r>
        <w:t>안보·군사  (HIGH 145 / MEDIUM 229)</w:t>
      </w:r>
    </w:p>
    <w:p>
      <w:r>
        <w:rPr>
          <w:b/>
        </w:rPr>
        <w:t>🌐 해외 상황</w:t>
      </w:r>
    </w:p>
    <w:p>
      <w:r>
        <w:t>미국과 이란이 2주간 휴전에 합의했으나, 이스라엘이 레바논에 사상 최대 규모의 공습을 감행하면서 이란이 이를 휴전 위반으로 규정하고 호르무즈 해협 유조선 통행을 재차 차단했다. 이란은 이스라엘 공격에 대한 보복을 준비 중이라고 밝혔으며, 역내 보복 공격도 지속하고 있다. 유엔 안보리에서 호르무즈 해협 개방을 촉구하는 결의안이 추진되었으나 중국과 러시아의 거부권 행사로 부결되었다. 이란은 호르무즈 통행 조건으로 배럴당 1달러 통행료 부과를 포함한 10개 항 요구안을 제시했으며, 오만은 이 중 통행료 부과 조항에 반대 입장을 표명했다.</w:t>
      </w:r>
    </w:p>
    <w:p>
      <w:r>
        <w:rPr>
          <w:b/>
        </w:rPr>
        <w:t>🇰🇷 국내 영향</w:t>
      </w:r>
    </w:p>
    <w:p>
      <w:r>
        <w:t>한국 정부는 한국 선박의 호르무즈 해협 안전 통항을 위해 노력하겠다고 공식 발표했다. 한국이 이란-미국 전쟁의 최대 피해국이라는 분석이 국내에서 제기되었다. 이란의 통행료 요구에 대해 구윤철 부총리는 현재 지급을 검토하지 않는다고 명확히 밝혔다. 중국·러시아의 유엔 안보리 거부권 행사로 국제적 해협 개방 압박 수단이 제한된 상황이다.</w:t>
      </w:r>
    </w:p>
    <w:p>
      <w:pPr>
        <w:pStyle w:val="Heading3"/>
      </w:pPr>
      <w:r>
        <w:t>해양안전  (HIGH 1 / MEDIUM 4)</w:t>
      </w:r>
    </w:p>
    <w:p>
      <w:r>
        <w:rPr>
          <w:b/>
        </w:rPr>
        <w:t>🇰🇷 국내 영향</w:t>
      </w:r>
    </w:p>
    <w:p>
      <w:r>
        <w:t>이란 선박이 폭격을 받아 기름이 유출되고 있으며 오염 범위가 확대되고 있으나 대응이 어려운 상황으로 보인다. 울산해수청은 2026년도 위험물 하역시설 집중 안전점검을 실시했다. 부산항에서는 황 함유량 기준을 초과한 연료유를 사용한 선박 3척이 적발되었다.</w:t>
      </w:r>
    </w:p>
    <w:p>
      <w:pPr>
        <w:pStyle w:val="Heading3"/>
      </w:pPr>
      <w:r>
        <w:t>운임·물류비  (HIGH 25 / MEDIUM 18)</w:t>
      </w:r>
    </w:p>
    <w:p>
      <w:r>
        <w:rPr>
          <w:b/>
        </w:rPr>
        <w:t>🌐 해외 상황</w:t>
      </w:r>
    </w:p>
    <w:p>
      <w:r>
        <w:t>이란이 호르무즈 해협 통과 선박에 배럴당 1달러의 통행료를 부과하고 결제 수단으로 비트코인 등 암호화폐를 요구하는 방안을 추진 중이다. 트럼프 대통령은 이란과의 '조인트 벤처' 형태로 호르무즈 통행료를 공동 징수하는 방안을 검토할 수 있다고 언급했다. 중동 분쟁으로 해운 비용이 대폭 상승했으며, 수에즈 운하 당국은 컨테이너선 리베이트 제도를 중단했다. 휴전 이후에도 호르무즈 해협 선박 통행은 여전히 제한적인 상태다.</w:t>
      </w:r>
    </w:p>
    <w:p>
      <w:r>
        <w:rPr>
          <w:b/>
        </w:rPr>
        <w:t>🇰🇷 국내 영향</w:t>
      </w:r>
    </w:p>
    <w:p>
      <w:r>
        <w:t>호르무즈 해협이 열리더라도 연간 1조 원 규모의 통행료 부담이 발생할 수 있다는 분석이 제기되었다. 한국 정부는 현재 통행료 지급을 검토하지 않는다는 입장을 유지하고 있다. 그리스 선박의 해협 통과 사례에서도 휴전 효력이 확인되지 않았으며 통행료 부과 여부도 불투명한 상황이다. 휴전 이후에도 유가와 통행료가 변수로 남아 있어 국내 수입 물류비 부담이 지속될 가능성이 있다.</w:t>
      </w:r>
    </w:p>
    <w:p>
      <w:pPr>
        <w:pStyle w:val="Heading3"/>
      </w:pPr>
      <w:r>
        <w:t>항만·화물  (HIGH 2 / MEDIUM 4)</w:t>
      </w:r>
    </w:p>
    <w:p>
      <w:r>
        <w:rPr>
          <w:b/>
        </w:rPr>
        <w:t>🇰🇷 국내 영향</w:t>
      </w:r>
    </w:p>
    <w:p>
      <w:r>
        <w:t>정부는 에너지 안보 비상 상황에 대응해 유류세 인하 확대 및 비축유 방출 조치를 시행했다. 재경부는 원유 수급이 일부 개선될 것이라며 석유수입기업에 대한 신속 지원 방침을 밝혔다.</w:t>
      </w:r>
    </w:p>
    <w:p>
      <w:pPr>
        <w:pStyle w:val="Heading3"/>
      </w:pPr>
      <w:r>
        <w:t>경제·금융  (HIGH 42 / MEDIUM 205)</w:t>
      </w:r>
    </w:p>
    <w:p>
      <w:r>
        <w:rPr>
          <w:b/>
        </w:rPr>
        <w:t>🌐 해외 상황</w:t>
      </w:r>
    </w:p>
    <w:p>
      <w:r>
        <w:t>미국-이란 2주 휴전 합의 발표 직후 국제유가가 급락했으며, WTI는 94~95달러 수준으로 하락했다. 다우존스 지수는 1,000~1,300포인트 급등하는 등 글로벌 증시가 강하게 반등했다. 엑슨모빌은 이란 전쟁 여파로 1분기 상류 부문 생산이 6% 감소할 것으로 전망했으며, 하류 부문은 이후 분기에 수혜를 볼 것으로 예상했다.</w:t>
      </w:r>
    </w:p>
    <w:p>
      <w:r>
        <w:rPr>
          <w:b/>
        </w:rPr>
        <w:t>🇰🇷 국내 영향</w:t>
      </w:r>
    </w:p>
    <w:p>
      <w:r>
        <w:t>미국-이란 2주 휴전 소식에 뉴욕증시가 일제히 2%대 급등하고 WTI가 17~19% 급락하면서 국내 금융시장에도 긍정적 영향이 미쳤다. 이란 전쟁 여파로 국제유가가 급등하는 과정에서 반도체 수출 호조에도 불구하고 제조업 전반의 원가 부담이 가중된 것으로 보인다. OPEC 원유 생산량이 40년 만에 최대 폭으로 급감한 것으로 보도되어 중장기 원유 공급 불안 우려가 남아 있다. 2월 경상수지는 반도체 수출 호조에 힘입어 사상 최대 흑자를 기록했다.</w:t>
      </w:r>
    </w:p>
    <w:p>
      <w:pPr>
        <w:pStyle w:val="Heading3"/>
      </w:pPr>
      <w:r>
        <w:t>수산물  (HIGH 0 / MEDIUM 1)</w:t>
      </w:r>
    </w:p>
    <w:p>
      <w:r>
        <w:rPr>
          <w:b/>
        </w:rPr>
        <w:t>🇰🇷 국내 영향</w:t>
      </w:r>
    </w:p>
    <w:p>
      <w:r>
        <w:t>유가 불안으로 어민들이 조업을 하지 못할 것 같다는 우려를 표명하고 있다.</w:t>
      </w:r>
    </w:p>
    <w:p>
      <w:pPr>
        <w:pStyle w:val="Heading3"/>
      </w:pPr>
      <w:r>
        <w:t>해운  (HIGH 31 / MEDIUM 27)</w:t>
      </w:r>
    </w:p>
    <w:p>
      <w:r>
        <w:rPr>
          <w:b/>
        </w:rPr>
        <w:t>🌐 해외 상황</w:t>
      </w:r>
    </w:p>
    <w:p>
      <w:r>
        <w:t>휴전 합의 이후 호르무즈 해협이 공식적으로 재개방되었으나, 휴전 이후 실제로 통과한 선박은 2척에 불과하며 수백 척이 여전히 대기 중이다. 합법-로이드는 걸프 해역 해운의 정상화가 느리게 진행될 것이라고 전망하며 교란 비용 증가를 경고했다. 선박들은 휴전 합의에도 불구하고 호르무즈 통과에 여전히 신중한 태도를 보이고 있으며, 미국은 전투 준비 태세를 유지하고 있다. 방글라데시행 원유 적재 유조선이 호르무즈 통과 허가 이후 항해를 재개했다.</w:t>
      </w:r>
    </w:p>
    <w:p>
      <w:r>
        <w:rPr>
          <w:b/>
        </w:rPr>
        <w:t>🇰🇷 국내 영향</w:t>
      </w:r>
    </w:p>
    <w:p>
      <w:r>
        <w:t>호르무즈 해협에 발이 묶인 한국 선박 26척 중 5척만 한국행을 재개한 것으로 보이며, 정부는 나머지 선박 복귀 작전에 착수했다. 해경은 100만 배럴 규모의 러시아 원유 운반선을 안전 호송했다. 정부는 호르무즈 해협 통항 재개를 기대하며 우리 선박 귀환에 총력을 기울이고 있다. 휴전 이후에도 800여 척의 선박 적체가 해소되지 않아 병목 현상이 불가피한 상황이다.</w:t>
      </w:r>
    </w:p>
    <w:p>
      <w:pPr>
        <w:pStyle w:val="Heading3"/>
      </w:pPr>
      <w:r>
        <w:t>물류  (HIGH 0 / MEDIUM 6)</w:t>
      </w:r>
    </w:p>
    <w:p>
      <w:r>
        <w:rPr>
          <w:b/>
        </w:rPr>
        <w:t>🇰🇷 국내 영향</w:t>
      </w:r>
    </w:p>
    <w:p>
      <w:r>
        <w:t>이 대통령이 의왕 물류기지를 방문해 물류 안정을 강조하고 운송업계와 간담회를 열어 저리 대출 등 지원 방안 검토를 지시했다. 화물연대가 CU 교섭에 불응하며 총파업을 예고했고, CU 일부 물류센터가 파업으로 멈추면서 편의점 점포 공급에 차질이 우려되고 있다.</w:t>
      </w:r>
    </w:p>
    <w:p>
      <w:pPr>
        <w:pStyle w:val="Heading3"/>
      </w:pPr>
      <w:r>
        <w:t>항만혼잡  (HIGH 2 / MEDIUM 0)</w:t>
      </w:r>
    </w:p>
    <w:p>
      <w:r>
        <w:rPr>
          <w:b/>
        </w:rPr>
        <w:t>🌐 해외 상황</w:t>
      </w:r>
    </w:p>
    <w:p>
      <w:r>
        <w:t>호르무즈 해협 봉쇄로 수백 척의 선박이 안전한 출구를 찾지 못하고 대기 중이며, 휴전 이후에도 해협은 사실상 막혀 있는 상태다.</w:t>
      </w:r>
    </w:p>
    <w:p>
      <w:r>
        <w:rPr>
          <w:b/>
        </w:rPr>
        <w:t>🇰🇷 국내 영향</w:t>
      </w:r>
    </w:p>
    <w:p>
      <w:r>
        <w:t>호르무즈 해협 탈출을 대기 중인 선박이 2,000척에 달하며 병목 현상이 불가피한 것으로 보도되었다.</w:t>
      </w:r>
    </w:p>
    <w:p>
      <w:pPr>
        <w:pStyle w:val="Heading3"/>
      </w:pPr>
      <w:r>
        <w:t>기타 산업  (HIGH 42 / MEDIUM 63)</w:t>
      </w:r>
    </w:p>
    <w:p>
      <w:r>
        <w:rPr>
          <w:b/>
        </w:rPr>
        <w:t>🌐 해외 상황</w:t>
      </w:r>
    </w:p>
    <w:p>
      <w:r>
        <w:t>이란이 사우디아라비아 동서 횡단 송유관을 공격했으며, 아부다비 UAE의 하브샨 가스 처리 시설에서 화재가 발생했다. 이란 정유 시설에서도 휴전 선언 이후 폭발이 발생한 것으로 보도되었다. 미국 EIA는 호르무즈가 재개방되더라도 연료 가격이 수개월간 계속 상승할 수 있다고 전망했다. 호르무즈 봉쇄가 글로벌 식량 공급을 위협한다는 분석도 제기되었으며, 석유 공급 충격이 비료·플라스틱·기술 산업 전반에 파급되고 있다.</w:t>
      </w:r>
    </w:p>
    <w:p>
      <w:r>
        <w:rPr>
          <w:b/>
        </w:rPr>
        <w:t>🇰🇷 국내 영향</w:t>
      </w:r>
    </w:p>
    <w:p>
      <w:r>
        <w:t>국내 배터리 업계는 나프타 가격 상승에 따른 원가 압박을 주시하고 있으며, 호르무즈 재개방으로 나프타 공급 부족이 일부 해소될 것으로 기대되고 있다. 정유·석유화학 업계는 중동 공급망 불안의 직격탄을 맞았으며, 2분기 경기 전망이 급락한 것으로 나타났다. 중동 산유국들은 한국에 원유를 우선 공급하기 위해 노력하겠다는 의지를 표명했다. HD현대는 미국-이란 전쟁 여파에 대응해 협력사에 에틸렌·금융 패키지 지원을 시행했다.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2967</w:t>
            </w:r>
          </w:p>
        </w:tc>
        <w:tc>
          <w:tcPr>
            <w:tcW w:type="dxa" w:w="2946"/>
          </w:tcPr>
          <w:p>
            <w:r>
              <w:t>100.0%</w:t>
            </w:r>
          </w:p>
        </w:tc>
      </w:tr>
      <w:tr>
        <w:tc>
          <w:tcPr>
            <w:tcW w:type="dxa" w:w="2946"/>
          </w:tcPr>
          <w:p>
            <w:r>
              <w:t>HIGH</w:t>
            </w:r>
          </w:p>
        </w:tc>
        <w:tc>
          <w:tcPr>
            <w:tcW w:type="dxa" w:w="2946"/>
          </w:tcPr>
          <w:p>
            <w:r>
              <w:t>290</w:t>
            </w:r>
          </w:p>
        </w:tc>
        <w:tc>
          <w:tcPr>
            <w:tcW w:type="dxa" w:w="2946"/>
          </w:tcPr>
          <w:p>
            <w:r>
              <w:t>9.8%</w:t>
            </w:r>
          </w:p>
        </w:tc>
      </w:tr>
      <w:tr>
        <w:tc>
          <w:tcPr>
            <w:tcW w:type="dxa" w:w="2946"/>
          </w:tcPr>
          <w:p>
            <w:r>
              <w:t>MEDIUM</w:t>
            </w:r>
          </w:p>
        </w:tc>
        <w:tc>
          <w:tcPr>
            <w:tcW w:type="dxa" w:w="2946"/>
          </w:tcPr>
          <w:p>
            <w:r>
              <w:t>557</w:t>
            </w:r>
          </w:p>
        </w:tc>
        <w:tc>
          <w:tcPr>
            <w:tcW w:type="dxa" w:w="2946"/>
          </w:tcPr>
          <w:p>
            <w:r>
              <w:t>18.8%</w:t>
            </w:r>
          </w:p>
        </w:tc>
      </w:tr>
      <w:tr>
        <w:tc>
          <w:tcPr>
            <w:tcW w:type="dxa" w:w="2946"/>
          </w:tcPr>
          <w:p>
            <w:r>
              <w:t>LOW</w:t>
            </w:r>
          </w:p>
        </w:tc>
        <w:tc>
          <w:tcPr>
            <w:tcW w:type="dxa" w:w="2946"/>
          </w:tcPr>
          <w:p>
            <w:r>
              <w:t>574</w:t>
            </w:r>
          </w:p>
        </w:tc>
        <w:tc>
          <w:tcPr>
            <w:tcW w:type="dxa" w:w="2946"/>
          </w:tcPr>
          <w:p>
            <w:r>
              <w:t>19.3%</w:t>
            </w:r>
          </w:p>
        </w:tc>
      </w:tr>
      <w:tr>
        <w:tc>
          <w:tcPr>
            <w:tcW w:type="dxa" w:w="2946"/>
          </w:tcPr>
          <w:p>
            <w:r>
              <w:t>NONE</w:t>
            </w:r>
          </w:p>
        </w:tc>
        <w:tc>
          <w:tcPr>
            <w:tcW w:type="dxa" w:w="2946"/>
          </w:tcPr>
          <w:p>
            <w:r>
              <w:t>1546</w:t>
            </w:r>
          </w:p>
        </w:tc>
        <w:tc>
          <w:tcPr>
            <w:tcW w:type="dxa" w:w="2946"/>
          </w:tcPr>
          <w:p>
            <w:r>
              <w:t>52.1%</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