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2026-09-18</w:t>
      </w:r>
    </w:p>
    <w:p>
      <w:pPr>
        <w:jc w:val="center"/>
      </w:pPr>
      <w:r>
        <w:rPr>
          <w:color w:val="808080"/>
          <w:sz w:val="18"/>
        </w:rPr>
        <w:t>생성 모델: claude-sonnet-4-6  |  HIGH+MEDIUM 463건 (해외 320건 / 국내 143건)</w:t>
      </w:r>
    </w:p>
    <w:p/>
    <w:p>
      <w:pPr>
        <w:pStyle w:val="Heading2"/>
      </w:pPr>
      <w:r>
        <w:t>오늘의 핵심</w:t>
      </w:r>
    </w:p>
    <w:p>
      <w:r>
        <w:t>이란이 호르무즈 해협에서 유조선을 공격하고[8][9][11] 미국인 탑승 선박도 피격되면서[11] 트럼프 행정부가 군사 대응을 검토 중이다[12]. 사우디아라비아의 동서 송유관이 드론 공격으로 가동 중단되면서[14][94][95] 사우디 아람코는 유럽 및 인도 정유사에 대한 9~10월 원유 선적을 취소·중단 통보했다[38][39][40][53]. 호르무즈 해협 통과 선박이 하루 100만 달러 이상의 운임을 기록하고[25][26] 글로벌 해운 운임은 8주 연속 상승 중이며[36] 컨테이너 운임이 사상 최고치를 시험할 수 있다는 분석이 나왔다[27]. 한국 정부는 11월 원유 수급 위기설에 대해 전년 대비 70% 이상 물량을 확보했다고 밝혔으며[50][51][52] UAE로부터 원유 최우선 공급에 대한 감사를 전달했다[57][74]. 이재명 대통령은 전쟁 개입 파병은 없다는 입장을 밝혔고[15][17] 한미 외교장관 회담에서 호르무즈 파병 문제가 논의됐다[16][18]. IEA 비롤 사무총장은 한국 등 아시아 LNG 수입국에 공급원 다변화를 촉구했다[3].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117건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84건</w:t>
            </w:r>
          </w:p>
        </w:tc>
        <w:tc>
          <w:tcPr>
            <w:tcW w:type="dxa" w:w="2209"/>
          </w:tcPr>
          <w:p>
            <w:r>
              <w:t>▲43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73건</w:t>
            </w:r>
          </w:p>
        </w:tc>
        <w:tc>
          <w:tcPr>
            <w:tcW w:type="dxa" w:w="2209"/>
          </w:tcPr>
          <w:p>
            <w:r>
              <w:t>▼32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파나마 운하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오만 살랄라 육상 환적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668건, 최근 8주 같은 기간(월~금) 중앙값 63건의 10.6배.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108 / MEDIUM 161)</w:t>
      </w:r>
    </w:p>
    <w:p>
      <w:r>
        <w:rPr>
          <w:b/>
        </w:rPr>
        <w:t>🌐 해외 상황</w:t>
      </w:r>
    </w:p>
    <w:p>
      <w:r>
        <w:t>이란이 호르무즈 해협에서 유조선을 공격했으며[8][9] 토고 선적 유조선에 대한 이란의 공격 주장이 제기됐다[6]. 이란은 이번 소형 제품 유조선 공격을 호르무즈 통제권 주장에 활용하고 있으며[10] 호르무즈 해협 통과 선박은 4척으로 급감했다[13]. 후티 반군은 예멘 모카 항을 장악하고[1] 홍해 전역에서 공격을 지속해 사우디아라비아의 경제 개혁에도 압박을 가하고 있다[5]. 이란과 오만은 호르무즈 해협 내 선박 통항 회랑 설치에 관한 합의에 근접한 것으로 보도됐다[2]. 글로벌 무역은 80년 만에 최악의 교란에 직면했다는 평가가 나왔다[7].</w:t>
      </w:r>
    </w:p>
    <w:p>
      <w:r>
        <w:rPr>
          <w:b/>
        </w:rPr>
        <w:t>🇰🇷 국내 영향</w:t>
      </w:r>
    </w:p>
    <w:p>
      <w:r>
        <w:t>한국 정부는 이재명 대통령이 '전쟁 개입 파병은 없다'는 입장을 공식화했으며[15][17] 한미 외교장관이 7개월 만에 워싱턴에서 회담을 갖고 호르무즈 파병·투자·북핵 문제를 논의했다[16][18][19]. 외신은 한국 대통령의 호르무즈 불개입 입장, 미국 투자 상업성, 북미 대화 등 세 가지 사안에 집중 보도했다[20]. 이재명 대통령은 UAE 칼둔 행정청장을 접견하고 원유 최우선 공급에 대한 감사를 전달했다[57][74][75][76].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지중해에서 LNG 탱커가 사이버 공격을 받은 것으로 의심되는 사건이 발생했으며[22] 또 다른 탱커도 사이버 공격으로 의심되는 장애를 겪었다[23]. 유조선 폭발 사고로 7명이 위독한 상태에 빠졌다[21]. 위험물 탱커를 복원하는 작업이 진행 중이며 I-29 재개통 계획도 수립되고 있다[24].</w:t>
      </w:r>
    </w:p>
    <w:p>
      <w:pPr>
        <w:pStyle w:val="Heading3"/>
      </w:pPr>
      <w:r>
        <w:t>운임·물류비  (HIGH 10 / MEDIUM 22)</w:t>
      </w:r>
    </w:p>
    <w:p>
      <w:r>
        <w:rPr>
          <w:b/>
        </w:rPr>
        <w:t>🌐 해외 상황</w:t>
      </w:r>
    </w:p>
    <w:p>
      <w:r>
        <w:t>후티 반군의 페림 섬 점령과 사우디 송유관 피격으로 화물 운임이 하루 100만 달러를 돌파했다[25]. 호르무즈 해협을 통과하는 유조선들이 하루 수백만 달러의 운임을 기록하며 '하루 백만장자'를 양산하고 있다[26]. 컨테이너 해상 운임이 이란 전쟁에 따른 연료비 급등으로 사상 최고치를 시험할 수 있다는 분석이 제기됐다[27]. 호르무즈 해협 선박 통항량이 급감했으며[29][31] 사우디는 새로운 원유 수출 경로를 모색 중이다[31]. 드류리 세계 컨테이너 지수(WCI)는 전주 대비 1% 상승했고[33] 발틱건화물지수(BDI)는 2일 연속 상승했다[34].</w:t>
      </w:r>
    </w:p>
    <w:p>
      <w:r>
        <w:rPr>
          <w:b/>
        </w:rPr>
        <w:t>🇰🇷 국내 영향</w:t>
      </w:r>
    </w:p>
    <w:p>
      <w:r>
        <w:t>사우디가 홍해 봉쇄로 호르무즈를 통해 6,000만 배럴을 우회 수출했으며 한국과 중국이 이를 구매했다[35]. 중동 전쟁 확산과 파나마 운하 통항 제한으로 글로벌 해운 운임이 8주 연속 상승했다[36]. BDI는 3,336포인트를 기록했으며 케이프사이즈 선박 시장에서 반등세가 나타났다[37].</w:t>
      </w:r>
    </w:p>
    <w:p>
      <w:pPr>
        <w:pStyle w:val="Heading3"/>
      </w:pPr>
      <w:r>
        <w:t>항만·화물  (HIGH 13 / MEDIUM 12)</w:t>
      </w:r>
    </w:p>
    <w:p>
      <w:r>
        <w:rPr>
          <w:b/>
        </w:rPr>
        <w:t>🌐 해외 상황</w:t>
      </w:r>
    </w:p>
    <w:p>
      <w:r>
        <w:t>사우디 아람코는 동서 송유관 공격 이후 유럽 정유사에 대한 10월 원유 선적을 취소 통보했으며[38][39][89][90][91] 인도 정유사에 대한 원유 공급도 무기한 중단했다[40][41][92][93]. 동서 송유관은 드론 공격으로 화재가 발생한 뒤 수 주간 가동 중단이 예상된다[94][95][96]. 사우디는 아시아에 대한 원유 공급 차질이 없을 것이라고 밝혔으나[45] 호르무즈를 통한 사우디 원유 수출은 일부 재개됐다[30].</w:t>
      </w:r>
    </w:p>
    <w:p>
      <w:r>
        <w:rPr>
          <w:b/>
        </w:rPr>
        <w:t>🇰🇷 국내 영향</w:t>
      </w:r>
    </w:p>
    <w:p>
      <w:r>
        <w:t>한국 정부는 11월 원유 수급 위기설에 대해 전년 대비 70% 이상 물량을 확보했으며 현재 증가 중이라고 밝혔다[50][51][52]. 정부는 비축분을 선제적으로 방출하고 조달선을 확대하는 방안을 추진 중이며[54] 정유사 운임 지원을 12월까지 연장하고 비축유 스와프 재가동도 검토 중이다[55]. 호르무즈 LNG 운항이 재개됐으며 가스 가격은 2022년 고점 수준에 근접했다[48]. 가스공사는 LNG캐나다 2단계 사업 투자를 결정해 생산량을 2,800만 톤으로 확대한다[56]. 이재명 대통령은 UAE에 원유 최우선 공급에 대한 감사를 전달했다[57].</w:t>
      </w:r>
    </w:p>
    <w:p>
      <w:pPr>
        <w:pStyle w:val="Heading3"/>
      </w:pPr>
      <w:r>
        <w:t>경제·금융  (HIGH 4 / MEDIUM 73)</w:t>
      </w:r>
    </w:p>
    <w:p>
      <w:r>
        <w:rPr>
          <w:b/>
        </w:rPr>
        <w:t>🌐 해외 상황</w:t>
      </w:r>
    </w:p>
    <w:p>
      <w:r>
        <w:t>호르무즈 교란과 러시아-우크라이나 전쟁으로 디젤 가격이 사상 최고치를 기록했다[28][58]. 브렌트유는 미국의 송유관 수리 낙관론으로 배럴당 104달러 아래로 하락했으며[59] WTI는 배럴당 100달러 아래로 떨어졌다[60]. 미-이란 갈등 완화 기대감으로 원유 가격이 하락하기도 했으나[65] JPMorgan은 유가 예측을 포기했다[66]. 해운주는 최대 9%의 배당 수익률을 기록하고 있다[67].</w:t>
      </w:r>
    </w:p>
    <w:p>
      <w:r>
        <w:rPr>
          <w:b/>
        </w:rPr>
        <w:t>🇰🇷 국내 영향</w:t>
      </w:r>
    </w:p>
    <w:p>
      <w:r>
        <w:t>한국 정부는 석유류 최고가격을 4주 추가 동결했으며 9~10월 도입 원유 물량이 전년 동기 대비 90% 수준으로 보도됐다[68]. 휘발유 최고가격은 1,784원, 경유는 1,773원으로 동결됐으며[69] 정부는 민생경제 보호를 이유로 국제유가 100달러 돌파에도 최고가격을 유지했다[70][71]. 국제유가는 한 주 새 급등했으나 위험자산 환경 지수는 53점으로 중립 수준을 유지했다[77]. 뉴욕증시는 금리 인상 충격을 넘기고 혼조 출발했으며[72] 달러화 강세 속에 엔화는 달러당 158엔에 근접했다[73].</w:t>
      </w:r>
    </w:p>
    <w:p>
      <w:pPr>
        <w:pStyle w:val="Heading3"/>
      </w:pPr>
      <w:r>
        <w:t>해운  (HIGH 0 / MEDIUM 11)</w:t>
      </w:r>
    </w:p>
    <w:p>
      <w:r>
        <w:rPr>
          <w:b/>
        </w:rPr>
        <w:t>🌐 해외 상황</w:t>
      </w:r>
    </w:p>
    <w:p>
      <w:r>
        <w:t>머스크가 대형 컨테이너선 26척을 발주하며 선대 갱신에 나섰다[78]. 한국 조선소 노조가 추석을 앞두고 파업을 확대했다[79]. 레오나르도 DRS가 한국 KDDX 함정용 추진 시스템을 공급하기로 했다[81]. 현대중공업은 3만5,000㎥급 LPG·암모니아 운반선을 개발했으며[84] K조선·세진·ClassNK는 LPG 운반선 설계 관련 MOU를 체결했다[83].</w:t>
      </w:r>
    </w:p>
    <w:p>
      <w:r>
        <w:rPr>
          <w:b/>
        </w:rPr>
        <w:t>🇰🇷 국내 영향</w:t>
      </w:r>
    </w:p>
    <w:p>
      <w:r>
        <w:t>제주도 위성곤 지사는 중국 대사를 면담하고 칭다오 항로 정상화와 관광 협력을 요청했다[86][87][88].</w:t>
      </w:r>
    </w:p>
    <w:p>
      <w:pPr>
        <w:pStyle w:val="Heading3"/>
      </w:pPr>
      <w:r>
        <w:t>기타 산업  (HIGH 8 / MEDIUM 37)</w:t>
      </w:r>
    </w:p>
    <w:p>
      <w:r>
        <w:rPr>
          <w:b/>
        </w:rPr>
        <w:t>🌐 해외 상황</w:t>
      </w:r>
    </w:p>
    <w:p>
      <w:r>
        <w:t>사우디 동서 송유관 폐쇄로 디젤 가격이 사상 최고치를 기록했다[96]. 흑해 분쟁으로 우크라이나산 밀 공급이 감소하면서 이집트 시장에서 미국산 옥수수가 반사이익을 얻을 가능성이 제기됐다[42].</w:t>
      </w:r>
    </w:p>
    <w:p>
      <w:r>
        <w:rPr>
          <w:b/>
        </w:rPr>
        <w:t>🇰🇷 국내 영향</w:t>
      </w:r>
    </w:p>
    <w:p>
      <w:r>
        <w:t>한국 정부는 석탄발전 21기를 조기 폐지하고 최대 10기는 안보전원으로 유지하기로 했으며[102] 당진 석탄발전소를 LNG로 전환해 호남 반도체 팹에 전력을 공급하는 방안이 추진된다[103]. 석탄발전 19기를 4년 내 폐쇄하고 LNG로 전환하는 계획도 발표됐다[104]. 한국동서발전은 글로벌 3개사와 LNG 수급 협력 협약을 체결했으며[101] 포스코인터내셔널은 북미 셰일가스전을 인수해 신용도에 긍정적 평가를 받았고 2028년 이후 연 1,000억 원 이상의 영업이익이 기대된다[106][108].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2658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144</w:t>
            </w:r>
          </w:p>
        </w:tc>
        <w:tc>
          <w:tcPr>
            <w:tcW w:type="dxa" w:w="2946"/>
          </w:tcPr>
          <w:p>
            <w:r>
              <w:t>5.4%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319</w:t>
            </w:r>
          </w:p>
        </w:tc>
        <w:tc>
          <w:tcPr>
            <w:tcW w:type="dxa" w:w="2946"/>
          </w:tcPr>
          <w:p>
            <w:r>
              <w:t>12.0%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471</w:t>
            </w:r>
          </w:p>
        </w:tc>
        <w:tc>
          <w:tcPr>
            <w:tcW w:type="dxa" w:w="2946"/>
          </w:tcPr>
          <w:p>
            <w:r>
              <w:t>17.7%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1724</w:t>
            </w:r>
          </w:p>
        </w:tc>
        <w:tc>
          <w:tcPr>
            <w:tcW w:type="dxa" w:w="2946"/>
          </w:tcPr>
          <w:p>
            <w:r>
              <w:t>64.9%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