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楷体_GB2312;楷体"/>
          <w:sz w:val="36"/>
        </w:rPr>
      </w:pPr>
      <w:r>
        <mc:AlternateContent>
          <mc:Choice Requires="wps">
            <w:drawing>
              <wp:anchor behindDoc="0" distT="0" distB="0" distL="114935" distR="114935" simplePos="0" locked="0" layoutInCell="0" allowOverlap="1" relativeHeight="4">
                <wp:simplePos x="0" y="0"/>
                <wp:positionH relativeFrom="column">
                  <wp:posOffset>-342900</wp:posOffset>
                </wp:positionH>
                <wp:positionV relativeFrom="paragraph">
                  <wp:posOffset>396240</wp:posOffset>
                </wp:positionV>
                <wp:extent cx="6057900" cy="0"/>
                <wp:effectExtent l="0" t="9525" r="0" b="9525"/>
                <wp:wrapNone/>
                <wp:docPr id="1" name="直线 2"/>
                <a:graphic xmlns:a="http://schemas.openxmlformats.org/drawingml/2006/main">
                  <a:graphicData uri="http://schemas.microsoft.com/office/word/2010/wordprocessingShape">
                    <wps:wsp>
                      <wps:cNvSpPr/>
                      <wps:spPr>
                        <a:xfrm>
                          <a:off x="0" y="0"/>
                          <a:ext cx="6058080" cy="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27pt,31.2pt" to="449.95pt,31.2pt" ID="直线 2" stroked="t" o:allowincell="f" style="position:absolute">
                <v:stroke color="black" weight="19080" joinstyle="miter" endcap="flat"/>
                <v:fill o:detectmouseclick="t" on="false"/>
                <w10:wrap type="none"/>
              </v:line>
            </w:pict>
          </mc:Fallback>
        </mc:AlternateContent>
      </w:r>
      <w:r>
        <w:rPr>
          <w:rFonts w:eastAsia="楷体_GB2312;楷体"/>
          <w:sz w:val="36"/>
        </w:rPr>
        <w:t>说</w:t>
      </w:r>
      <w:r>
        <w:rPr>
          <w:sz w:val="36"/>
        </w:rPr>
        <w:t xml:space="preserve">  </w:t>
      </w:r>
      <w:r>
        <w:rPr>
          <w:sz w:val="36"/>
        </w:rPr>
        <w:t xml:space="preserve"> </w:t>
      </w:r>
      <w:r>
        <w:rPr>
          <w:rFonts w:eastAsia="楷体_GB2312;楷体"/>
          <w:sz w:val="36"/>
        </w:rPr>
        <w:t>明</w:t>
      </w:r>
      <w:r>
        <w:rPr>
          <w:sz w:val="36"/>
        </w:rPr>
        <w:t xml:space="preserve">  </w:t>
      </w:r>
      <w:r>
        <w:rPr>
          <w:sz w:val="36"/>
        </w:rPr>
        <w:t xml:space="preserve"> </w:t>
      </w:r>
      <w:r>
        <w:rPr>
          <w:rFonts w:eastAsia="楷体_GB2312;楷体"/>
          <w:sz w:val="36"/>
        </w:rPr>
        <w:t>书</w:t>
      </w:r>
      <w:r>
        <w:rPr>
          <w:sz w:val="36"/>
        </w:rPr>
        <w:t xml:space="preserve">  </w:t>
      </w:r>
      <w:r>
        <w:rPr>
          <w:sz w:val="36"/>
        </w:rPr>
        <w:t xml:space="preserve"> </w:t>
      </w:r>
      <w:r>
        <w:rPr>
          <w:rFonts w:eastAsia="楷体_GB2312;楷体"/>
          <w:sz w:val="36"/>
        </w:rPr>
        <w:t>摘</w:t>
      </w:r>
      <w:r>
        <w:rPr>
          <w:sz w:val="36"/>
        </w:rPr>
        <w:t xml:space="preserve">  </w:t>
      </w:r>
      <w:r>
        <w:rPr>
          <w:sz w:val="36"/>
        </w:rPr>
        <w:t xml:space="preserve"> </w:t>
      </w:r>
      <w:r>
        <w:rPr>
          <w:rFonts w:eastAsia="楷体_GB2312;楷体"/>
          <w:sz w:val="36"/>
        </w:rPr>
        <w:t>要</w:t>
      </w:r>
    </w:p>
    <w:p>
      <w:pPr>
        <w:pStyle w:val="Normal"/>
        <w:ind w:firstLine="560"/>
        <w:rPr/>
      </w:pPr>
      <w:r>
        <w:t>本发明公开了一种基于注意力读出与竞争式更新的语言模型外置记忆方法，该方法具体包括如下步骤：S1，记忆-注意力注入，对于语言模型的一个或多个指定层，从固定容量记忆矩阵中以跨层注意力方式读出一个记忆读出量，对所述记忆读出量以所述记忆矩阵为键值进行至少一次残差式迭代精化，并将精化后的记忆读出量通过深度路由机制注入该层的残差流；S2，自动改写，在一次会话结束之后、所述记忆矩阵被后续会话读出之前，以一组可学习的改写查询作用于刚结束的本次会话的token表征序列，通过跨层注意力将该会话所含信息压缩为一个与记忆矩阵形状一致的候选记忆矩阵；S3，两阶段竞争。本发明能够在不修改预训练语言模型本体参数和不依赖任何外部检索系统的前提下，使语言模型在前向推理过程中以恒定的、与历史长度无关的计算开销访问跨会话长程信息。</w:t>
      </w:r>
    </w:p>
    <w:p>
      <w:pPr>
        <w:pStyle w:val="Normal"/>
        <w:rPr/>
      </w:pPr>
      <w:r>
        <w:rPr/>
      </w:r>
    </w:p>
    <w:p>
      <w:pPr>
        <w:sectPr>
          <w:footerReference w:type="default" r:id="rId2"/>
          <w:footerReference w:type="first" r:id="rId12"/>
          <w:footerReference w:type="even" r:id="rId13"/>
          <w:type w:val="nextPage"/>
          <w:pgSz w:w="11906" w:h="16838"/>
          <w:pgMar w:left="1797" w:right="1418" w:gutter="0" w:header="0" w:top="1440" w:footer="992" w:bottom="1440"/>
          <w:pgNumType w:fmt="decimal"/>
          <w:formProt w:val="false"/>
          <w:textDirection w:val="lrTb"/>
          <w:docGrid w:type="linesAndChars" w:linePitch="312" w:charSpace="0"/>
        </w:sectPr>
        <w:pStyle w:val="Normal"/>
        <w:rPr>
          <w:rFonts w:eastAsia="楷体_GB2312;楷体"/>
        </w:rPr>
      </w:pPr>
      <w:r>
        <w:rPr>
          <w:rFonts w:eastAsia="楷体_GB2312;楷体"/>
        </w:rPr>
      </w:r>
    </w:p>
    <w:p>
      <w:pPr>
        <w:pStyle w:val="Normal"/>
        <w:jc w:val="center"/>
        <w:rPr/>
      </w:pPr>
      <w:r>
        <mc:AlternateContent>
          <mc:Choice Requires="wps">
            <w:drawing>
              <wp:anchor behindDoc="0" distT="0" distB="0" distL="114935" distR="114935" simplePos="0" locked="0" layoutInCell="0" allowOverlap="1" relativeHeight="5">
                <wp:simplePos x="0" y="0"/>
                <wp:positionH relativeFrom="column">
                  <wp:posOffset>-342900</wp:posOffset>
                </wp:positionH>
                <wp:positionV relativeFrom="paragraph">
                  <wp:posOffset>396240</wp:posOffset>
                </wp:positionV>
                <wp:extent cx="6057900" cy="0"/>
                <wp:effectExtent l="0" t="9525" r="0" b="9525"/>
                <wp:wrapNone/>
                <wp:docPr id="2" name="直线 3"/>
                <a:graphic xmlns:a="http://schemas.openxmlformats.org/drawingml/2006/main">
                  <a:graphicData uri="http://schemas.microsoft.com/office/word/2010/wordprocessingShape">
                    <wps:wsp>
                      <wps:cNvSpPr/>
                      <wps:spPr>
                        <a:xfrm>
                          <a:off x="0" y="0"/>
                          <a:ext cx="6058080" cy="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27pt,31.2pt" to="449.95pt,31.2pt" ID="直线 3" stroked="t" o:allowincell="f" style="position:absolute">
                <v:stroke color="black" weight="19080" joinstyle="miter" endcap="flat"/>
                <v:fill o:detectmouseclick="t" on="false"/>
                <w10:wrap type="none"/>
              </v:line>
            </w:pict>
          </mc:Fallback>
        </mc:AlternateContent>
      </w:r>
      <w:r>
        <w:rPr>
          <w:rFonts w:eastAsia="楷体_GB2312;楷体"/>
          <w:sz w:val="36"/>
        </w:rPr>
        <w:t>权</w:t>
      </w:r>
      <w:r>
        <w:rPr>
          <w:sz w:val="36"/>
        </w:rPr>
        <w:t xml:space="preserve"> </w:t>
      </w:r>
      <w:r>
        <w:rPr>
          <w:sz w:val="36"/>
        </w:rPr>
        <w:t xml:space="preserve">  </w:t>
      </w:r>
      <w:r>
        <w:rPr>
          <w:rFonts w:eastAsia="楷体_GB2312;楷体"/>
          <w:sz w:val="36"/>
        </w:rPr>
        <w:t>利</w:t>
      </w:r>
      <w:r>
        <w:rPr>
          <w:sz w:val="36"/>
        </w:rPr>
        <w:t xml:space="preserve">  </w:t>
      </w:r>
      <w:r>
        <w:rPr>
          <w:sz w:val="36"/>
        </w:rPr>
        <w:t xml:space="preserve"> </w:t>
      </w:r>
      <w:r>
        <w:rPr>
          <w:rFonts w:eastAsia="楷体_GB2312;楷体"/>
          <w:sz w:val="36"/>
        </w:rPr>
        <w:t>要</w:t>
      </w:r>
      <w:r>
        <w:rPr>
          <w:sz w:val="36"/>
        </w:rPr>
        <w:t xml:space="preserve">  </w:t>
      </w:r>
      <w:r>
        <w:rPr>
          <w:sz w:val="36"/>
        </w:rPr>
        <w:t xml:space="preserve"> </w:t>
      </w:r>
      <w:r>
        <w:rPr>
          <w:rFonts w:eastAsia="楷体_GB2312;楷体"/>
          <w:sz w:val="36"/>
        </w:rPr>
        <w:t>求</w:t>
      </w:r>
      <w:r>
        <w:rPr>
          <w:sz w:val="36"/>
        </w:rPr>
        <w:t xml:space="preserve">  </w:t>
      </w:r>
      <w:r>
        <w:rPr>
          <w:sz w:val="36"/>
        </w:rPr>
        <w:t xml:space="preserve"> </w:t>
      </w:r>
      <w:r>
        <w:rPr>
          <w:rFonts w:eastAsia="楷体_GB2312;楷体"/>
          <w:sz w:val="36"/>
        </w:rPr>
        <w:t>书</w:t>
      </w:r>
    </w:p>
    <w:p>
      <w:pPr>
        <w:pStyle w:val="Normal"/>
        <w:ind w:firstLine="560"/>
        <w:rPr/>
      </w:pPr>
      <w:r>
        <w:rPr/>
        <w:t>1.</w:t>
      </w:r>
      <w:r>
        <w:rPr/>
        <w:t>一种基于注意力读出与竞争式更新的语言模型外置记忆方法</w:t>
      </w:r>
      <w:r>
        <w:rPr/>
        <w:t>，其特征在于，该方法具体包括如下步骤：</w:t>
      </w:r>
    </w:p>
    <w:p>
      <w:pPr>
        <w:pStyle w:val="Normal"/>
        <w:ind w:firstLine="560"/>
        <w:rPr/>
      </w:pPr>
      <w:r>
        <w:t>S1，记忆-注意力注入，在每一次推理会话内，对于语言模型的一个或多个指定层，以该层的输入隐状态作为查询，从固定容量记忆矩阵中以跨层注意力方式读出一个记忆读出量，对所述记忆读出量以所述记忆矩阵为键值进行至少一次残差式迭代精化，并将精化后的记忆读出量通过深度路由机制注入该层的残差流；</w:t>
      </w:r>
    </w:p>
    <w:p>
      <w:pPr>
        <w:pStyle w:val="Normal"/>
        <w:ind w:firstLine="560"/>
        <w:rPr/>
      </w:pPr>
      <w:r>
        <w:t>S2，自动改写，在一次会话结束之后、所述记忆矩阵被后续会话读出之前，以一组可学习的改写查询作用于刚结束的本次会话的token表征序列，通过跨层注意力将该会话所含信息压缩为一个与记忆矩阵形状一致的候选记忆矩阵；</w:t>
      </w:r>
    </w:p>
    <w:p>
      <w:pPr>
        <w:pStyle w:val="Normal"/>
        <w:ind w:firstLine="560"/>
        <w:rPr/>
      </w:pPr>
      <w:r>
        <w:t>S3，两阶段竞争，将旧记忆矩阵与候选矩阵沿槽位维拼接为长度为2K的拼接矩阵，以一组可学习的判定查询作用于拼接矩阵，执行基于softmax归一化的竞争式注意力更新，使旧槽位内容与新候选内容通过softmax归一化构成零和竞争，由竞争结果决定更新后记忆矩阵中每一槽位的内容，产出更新后的记忆矩阵，作为下一会话的初始记忆。</w:t>
      </w:r>
    </w:p>
    <w:p>
      <w:pPr>
        <w:pStyle w:val="Normal"/>
        <w:ind w:firstLine="560"/>
        <w:rPr/>
      </w:pPr>
      <w:r>
        <w:rPr/>
        <w:t>2.</w:t>
      </w:r>
      <w:r>
        <w:rPr/>
        <w:t>根据权利要求</w:t>
      </w:r>
      <w:r>
        <w:rPr/>
        <w:t>1</w:t>
      </w:r>
      <w:r>
        <w:rPr/>
        <w:t>所述的</w:t>
      </w:r>
      <w:r>
        <w:rPr/>
        <w:t>一种基于注意力读出与竞争式更新的语言模型外置记忆方法</w:t>
      </w:r>
      <w:r>
        <w:rPr/>
        <w:t>，其特征在于，所述</w:t>
      </w:r>
      <w:r>
        <w:rPr>
          <w:bCs/>
        </w:rPr>
        <w:t>语言模型的解码器层数为</w:t>
      </w:r>
      <w:r>
        <w:rPr>
          <w:bCs/>
        </w:rPr>
        <w:t>L</w:t>
      </w:r>
      <w:r>
        <w:rPr>
          <w:bCs/>
        </w:rPr>
        <w:t xml:space="preserve">，设置一个或多个被注入层的索引集合ℓ∈ </w:t>
      </w:r>
      <w:r>
        <w:rPr>
          <w:bCs/>
        </w:rPr>
        <w:t>{ℓ_1, ℓ_2, …, ℓ_m} ⊆ {1, 2, …, L}</w:t>
      </w:r>
      <w:r>
        <w:rPr>
          <w:bCs/>
        </w:rPr>
        <w:t>；所述</w:t>
      </w:r>
      <w:r>
        <w:rPr/>
        <w:t>S1</w:t>
      </w:r>
      <w:r>
        <w:rPr/>
        <w:t>中</w:t>
      </w:r>
      <w:r>
        <w:rPr/>
        <w:t>记忆</w:t>
      </w:r>
      <w:r>
        <w:rPr/>
        <w:t>-</w:t>
      </w:r>
      <w:r>
        <w:rPr/>
        <w:t>注意力注入</w:t>
      </w:r>
      <w:r>
        <w:rPr/>
        <w:t>具体为：</w:t>
      </w:r>
    </w:p>
    <w:p>
      <w:pPr>
        <w:pStyle w:val="Normal"/>
        <w:ind w:firstLine="560"/>
        <w:rPr>
          <w:bCs/>
        </w:rPr>
      </w:pPr>
      <w:r>
        <w:rPr/>
        <w:t>S11</w:t>
      </w:r>
      <w:r>
        <w:rPr/>
        <w:t>，</w:t>
      </w:r>
      <w:r>
        <w:rPr>
          <w:bCs/>
        </w:rPr>
        <w:t xml:space="preserve">为每一被注入层ℓ配置该层独有的可学习投影矩阵 </w:t>
      </w:r>
      <w:r>
        <w:rPr>
          <w:bCs/>
        </w:rPr>
        <w:t>W_Q^(read,ℓ)</w:t>
      </w:r>
      <w:r>
        <w:rPr>
          <w:bCs/>
        </w:rPr>
        <w:t>、</w:t>
      </w:r>
      <w:r>
        <w:rPr>
          <w:bCs/>
        </w:rPr>
        <w:t>W_K^(read,ℓ)</w:t>
      </w:r>
      <w:r>
        <w:rPr>
          <w:bCs/>
        </w:rPr>
        <w:t>、</w:t>
      </w:r>
      <w:r>
        <w:rPr>
          <w:bCs/>
        </w:rPr>
        <w:t>W_V^(read,ℓ) ∈ ℝ^{d×d}</w:t>
      </w:r>
      <w:r>
        <w:rPr>
          <w:bCs/>
        </w:rPr>
        <w:t xml:space="preserve">；设该层在当前推理位置的输入隐状态序列为 </w:t>
      </w:r>
      <w:r>
        <w:rPr>
          <w:bCs/>
        </w:rPr>
        <w:t>X_ℓ ∈ ℝ^{N×d}</w:t>
      </w:r>
      <w:r>
        <w:rPr>
          <w:bCs/>
        </w:rPr>
        <w:t>，其中</w:t>
      </w:r>
      <w:r>
        <w:rPr>
          <w:bCs/>
        </w:rPr>
        <w:t>N</w:t>
      </w:r>
      <w:r>
        <w:rPr>
          <w:bCs/>
        </w:rPr>
        <w:t>为当前序列长度；</w:t>
      </w:r>
    </w:p>
    <w:p>
      <w:pPr>
        <w:pStyle w:val="Normal"/>
        <w:ind w:firstLine="560"/>
        <w:rPr/>
      </w:pPr>
      <w:r>
        <w:rPr>
          <w:bCs/>
        </w:rPr>
        <w:t>S12</w:t>
      </w:r>
      <w:r>
        <w:rPr>
          <w:bCs/>
        </w:rPr>
        <w:t>，从</w:t>
      </w:r>
      <w:r>
        <w:rPr/>
        <w:t>固定容量记忆矩阵获得当前层、当前位置的记忆读出量</w:t>
      </w:r>
      <w:r>
        <w:rPr/>
        <w:t>，具体获取为：</w:t>
      </w:r>
    </w:p>
    <w:p>
      <w:pPr>
        <w:pStyle w:val="Normal"/>
        <w:rPr/>
      </w:pPr>
      <w:r>
        <w:rPr/>
        <w:t>m_ℓ=Softmax(X_ℓ·W_Q^(read,ℓ)·(M_c·W_K^(read,ℓ))^T/√d )· M_c·W_V^(read,ℓ)</w:t>
      </w:r>
      <w:r>
        <w:rPr/>
        <w:t>；</w:t>
      </w:r>
      <w:r>
        <w:rPr/>
        <w:br/>
      </w:r>
      <w:r>
        <w:rPr/>
        <w:t>其中</w:t>
      </w:r>
      <w:r>
        <w:rPr/>
        <w:t>X_ℓ∈ℝ^(N×d)</w:t>
      </w:r>
      <w:r>
        <w:rPr/>
        <w:t>为该层当前输入隐状态序列，</w:t>
      </w:r>
      <w:r>
        <w:rPr/>
        <w:t>Softmax</w:t>
      </w:r>
      <w:r>
        <w:rPr/>
        <w:t>沿</w:t>
      </w:r>
      <w:r>
        <w:rPr/>
        <w:t>K</w:t>
      </w:r>
      <w:r>
        <w:rPr/>
        <w:t>维度归一化；</w:t>
      </w:r>
    </w:p>
    <w:p>
      <w:pPr>
        <w:pStyle w:val="Normal"/>
        <w:ind w:firstLine="560"/>
        <w:rPr>
          <w:bCs/>
        </w:rPr>
      </w:pPr>
      <w:r>
        <w:rPr>
          <w:bCs/>
        </w:rPr>
        <w:t>S13</w:t>
      </w:r>
      <w:r>
        <w:rPr>
          <w:bCs/>
        </w:rPr>
        <w:t xml:space="preserve">，将得到的 </w:t>
      </w:r>
      <w:r>
        <w:rPr>
          <w:bCs/>
        </w:rPr>
        <w:t xml:space="preserve">m_ℓ </w:t>
      </w:r>
      <w:r>
        <w:rPr>
          <w:bCs/>
        </w:rPr>
        <w:t>作为该层的基础源加入残差流的可选源池中，设该层在沿深度方向已积累的可路由源池为：</w:t>
      </w:r>
    </w:p>
    <w:p>
      <w:pPr>
        <w:pStyle w:val="Normal"/>
        <w:spacing w:before="0" w:after="80"/>
        <w:jc w:val="left"/>
        <w:rPr>
          <w:bCs/>
        </w:rPr>
      </w:pPr>
      <w:r>
        <w:rPr>
          <w:bCs/>
        </w:rPr>
        <w:t>V_{ℓ}=[b_{-1}, b_0, b_1, …, b_{ℓ-1} ]</w:t>
      </w:r>
      <w:r>
        <w:rPr>
          <w:bCs/>
        </w:rPr>
        <w:t>，</w:t>
      </w:r>
    </w:p>
    <w:p>
      <w:pPr>
        <w:pStyle w:val="Normal"/>
        <w:spacing w:before="0" w:after="80"/>
        <w:jc w:val="left"/>
        <w:rPr>
          <w:bCs/>
        </w:rPr>
      </w:pPr>
      <w:r>
        <w:rPr>
          <w:bCs/>
        </w:rPr>
        <w:t xml:space="preserve">其中 </w:t>
      </w:r>
      <w:r>
        <w:rPr>
          <w:bCs/>
        </w:rPr>
        <w:t xml:space="preserve">b_{-1}:= m_ℓ </w:t>
      </w:r>
      <w:r>
        <w:rPr>
          <w:bCs/>
        </w:rPr>
        <w:t>表示由本方法注入的记忆源，</w:t>
      </w:r>
      <w:r>
        <w:rPr>
          <w:bCs/>
        </w:rPr>
        <w:t xml:space="preserve">b_0 </w:t>
      </w:r>
      <w:r>
        <w:rPr>
          <w:bCs/>
        </w:rPr>
        <w:t>表示</w:t>
      </w:r>
      <w:r>
        <w:rPr>
          <w:bCs/>
        </w:rPr>
        <w:t>embedding</w:t>
      </w:r>
      <w:r>
        <w:rPr>
          <w:bCs/>
        </w:rPr>
        <w:t>层输出，</w:t>
      </w:r>
      <w:r>
        <w:rPr>
          <w:bCs/>
        </w:rPr>
        <w:t xml:space="preserve">b_1 … b_{ℓ-1} </w:t>
      </w:r>
      <w:r>
        <w:rPr>
          <w:bCs/>
        </w:rPr>
        <w:t xml:space="preserve">表示来自此前各解码块的中间残差源；以可学习的伪查询 </w:t>
      </w:r>
      <w:r>
        <w:rPr>
          <w:bCs/>
        </w:rPr>
        <w:t xml:space="preserve">w_ℓ </w:t>
      </w:r>
      <w:r>
        <w:rPr>
          <w:bCs/>
        </w:rPr>
        <w:t xml:space="preserve">对 </w:t>
      </w:r>
      <w:r>
        <w:rPr>
          <w:bCs/>
        </w:rPr>
        <w:t xml:space="preserve">V_{ℓ} </w:t>
      </w:r>
      <w:r>
        <w:rPr>
          <w:bCs/>
        </w:rPr>
        <w:t>中的各源做</w:t>
      </w:r>
      <w:r>
        <w:rPr>
          <w:bCs/>
        </w:rPr>
        <w:t>softmax</w:t>
      </w:r>
      <w:r>
        <w:rPr>
          <w:bCs/>
        </w:rPr>
        <w:t>加权：</w:t>
      </w:r>
    </w:p>
    <w:p>
      <w:pPr>
        <w:pStyle w:val="Normal"/>
        <w:spacing w:before="0" w:after="80"/>
        <w:jc w:val="left"/>
        <w:rPr>
          <w:bCs/>
        </w:rPr>
      </w:pPr>
      <w:r>
        <w:rPr>
          <w:bCs/>
        </w:rPr>
        <w:t>α_{v→ℓ} =exp( w_ℓ·RMSNorm(v))/Σ_{v'∈ V_ℓ}exp( w_ℓ·RMSNorm(v') )</w:t>
      </w:r>
      <w:r>
        <w:rPr>
          <w:bCs/>
        </w:rPr>
        <w:t>，</w:t>
      </w:r>
    </w:p>
    <w:p>
      <w:pPr>
        <w:pStyle w:val="Normal"/>
        <w:spacing w:before="0" w:after="80"/>
        <w:jc w:val="left"/>
        <w:rPr>
          <w:bCs/>
        </w:rPr>
      </w:pPr>
      <w:r>
        <w:rPr>
          <w:bCs/>
        </w:rPr>
        <w:t>h_ℓ=Σ_{v∈V_ℓ}α_{v→ℓ}·v</w:t>
      </w:r>
      <w:r>
        <w:rPr>
          <w:bCs/>
        </w:rPr>
        <w:t>；</w:t>
      </w:r>
    </w:p>
    <w:p>
      <w:pPr>
        <w:pStyle w:val="Normal"/>
        <w:rPr>
          <w:bCs/>
        </w:rPr>
      </w:pPr>
      <w:r>
        <w:rPr>
          <w:bCs/>
        </w:rPr>
        <w:t xml:space="preserve">并以 </w:t>
      </w:r>
      <w:r>
        <w:rPr>
          <w:bCs/>
        </w:rPr>
        <w:t xml:space="preserve">h_ℓ </w:t>
      </w:r>
      <w:r>
        <w:rPr>
          <w:bCs/>
        </w:rPr>
        <w:t>作为该层后续子层的实际输入。</w:t>
      </w:r>
    </w:p>
    <w:p>
      <w:pPr>
        <w:pStyle w:val="Normal"/>
        <w:ind w:firstLine="560"/>
        <w:rPr/>
      </w:pPr>
      <w:r>
        <w:t>3.根据权利要求2所述的一种基于注意力读出与竞争式更新的语言模型外置记忆方法，其特征在于，所述S1中还包括：引入精化深度R≥1，对r=1,2,...,R迭代执行：</w:t>
        <w:br/>
        <w:t>m_ℓ^(r) = m_ℓ^(r-1) + CrossAttn^(read,ℓ,r)( m_ℓ^(r-1), M_c )，</w:t>
        <w:br/>
        <w:t>其中各CrossAttn^(read,ℓ,r)拥有独立的可学习参数。</w:t>
      </w:r>
    </w:p>
    <w:p>
      <w:pPr>
        <w:pStyle w:val="Normal"/>
        <w:ind w:firstLine="560"/>
        <w:rPr/>
      </w:pPr>
      <w:r>
        <w:rPr/>
        <w:t>4.</w:t>
      </w:r>
      <w:r>
        <w:rPr/>
        <w:t>根据权利要求</w:t>
      </w:r>
      <w:r>
        <w:rPr/>
        <w:t>1</w:t>
      </w:r>
      <w:r>
        <w:rPr/>
        <w:t>所述的</w:t>
      </w:r>
      <w:r>
        <w:rPr/>
        <w:t>一种基于注意力读出与竞争式更新的语言模型外置记忆方法</w:t>
      </w:r>
      <w:r>
        <w:rPr/>
        <w:t>，其特征在于，</w:t>
      </w:r>
      <w:r>
        <w:rPr/>
        <w:t>所述</w:t>
      </w:r>
      <w:r>
        <w:rPr/>
        <w:t>S2</w:t>
      </w:r>
      <w:r>
        <w:rPr/>
        <w:t>具体包括：</w:t>
      </w:r>
    </w:p>
    <w:p>
      <w:pPr>
        <w:pStyle w:val="Normal"/>
        <w:ind w:firstLine="560"/>
        <w:rPr/>
      </w:pPr>
      <w:r>
        <w:rPr/>
        <w:t>S21</w:t>
      </w:r>
      <w:r>
        <w:rPr/>
        <w:t>，</w:t>
      </w:r>
      <w:r>
        <w:rPr/>
        <w:t>配置一组可学习的改写查询矩阵</w:t>
      </w:r>
      <w:r>
        <w:rPr/>
        <w:t>M_in∈ℝ^(K×d)</w:t>
      </w:r>
      <w:r>
        <w:rPr/>
        <w:t>，其行数与</w:t>
      </w:r>
      <w:r>
        <w:rPr/>
        <w:t>M_c</w:t>
      </w:r>
      <w:r>
        <w:rPr/>
        <w:t>的槽位数</w:t>
      </w:r>
      <w:r>
        <w:rPr/>
        <w:t>K</w:t>
      </w:r>
      <w:r>
        <w:rPr/>
        <w:t>一致；</w:t>
      </w:r>
      <w:r>
        <w:rPr/>
        <w:t>M_in</w:t>
      </w:r>
      <w:r>
        <w:rPr/>
        <w:t>各行以正交初始化，并在前向传播时为每一行叠加槽位位置编码以打破置换对称性；</w:t>
      </w:r>
    </w:p>
    <w:p>
      <w:pPr>
        <w:pStyle w:val="Normal"/>
        <w:ind w:firstLine="560"/>
        <w:rPr/>
      </w:pPr>
      <w:r>
        <w:rPr/>
        <w:t>S22</w:t>
      </w:r>
      <w:r>
        <w:rPr/>
        <w:t>，</w:t>
      </w:r>
      <w:r>
        <w:rPr/>
        <w:t>将本次会话压缩为候选记忆矩阵</w:t>
      </w:r>
      <w:r>
        <w:rPr/>
        <w:t>具体为：</w:t>
      </w:r>
      <w:r>
        <w:rPr/>
        <w:br/>
        <w:t>E=Softmax(M_in·W_Q^(ext)·(C·W_K^(ext))^T/√d )· C· W_V^(ext)</w:t>
      </w:r>
      <w:r>
        <w:rPr/>
        <w:t>，</w:t>
      </w:r>
    </w:p>
    <w:p>
      <w:pPr>
        <w:pStyle w:val="Normal"/>
        <w:ind w:firstLine="560"/>
        <w:rPr/>
      </w:pPr>
      <w:r>
        <w:rPr/>
        <w:t>其中</w:t>
      </w:r>
      <w:r>
        <w:rPr/>
        <w:t>C∈ℝ^(N_c×d)</w:t>
      </w:r>
      <w:r>
        <w:rPr/>
        <w:t>为本次会话的</w:t>
      </w:r>
      <w:r>
        <w:rPr/>
        <w:t>token</w:t>
      </w:r>
      <w:r>
        <w:rPr/>
        <w:t>表征序列，</w:t>
      </w:r>
      <w:r>
        <w:rPr/>
        <w:t>W_Q^(ext)</w:t>
      </w:r>
      <w:r>
        <w:rPr/>
        <w:t>、</w:t>
      </w:r>
      <w:r>
        <w:rPr/>
        <w:t>W_K^(ext)</w:t>
      </w:r>
      <w:r>
        <w:rPr/>
        <w:t>、</w:t>
      </w:r>
      <w:r>
        <w:rPr/>
        <w:t>W_V^(ext)∈ℝ^(d×d)</w:t>
      </w:r>
      <w:r>
        <w:rPr/>
        <w:t>为可学习投影，</w:t>
      </w:r>
      <w:r>
        <w:rPr/>
        <w:t>E∈ℝ^(K×d)</w:t>
      </w:r>
      <w:r>
        <w:rPr/>
        <w:t>为压缩结果；</w:t>
      </w:r>
    </w:p>
    <w:p>
      <w:pPr>
        <w:pStyle w:val="Normal"/>
        <w:ind w:firstLine="560"/>
        <w:rPr/>
      </w:pPr>
      <w:r>
        <w:rPr/>
        <w:t>S23</w:t>
      </w:r>
      <w:r>
        <w:rPr/>
        <w:t>，</w:t>
      </w:r>
      <w:r>
        <w:rPr/>
        <w:t>将</w:t>
      </w:r>
      <w:r>
        <w:rPr/>
        <w:t>E</w:t>
      </w:r>
      <w:r>
        <w:rPr/>
        <w:t>作为</w:t>
      </w:r>
      <w:r>
        <w:rPr/>
        <w:t>M_new</w:t>
      </w:r>
      <w:r>
        <w:rPr/>
        <w:t>输出</w:t>
      </w:r>
      <w:r>
        <w:rPr/>
        <w:t>。</w:t>
      </w:r>
    </w:p>
    <w:p>
      <w:pPr>
        <w:pStyle w:val="Normal"/>
        <w:ind w:firstLine="560"/>
        <w:rPr/>
      </w:pPr>
      <w:r>
        <w:rPr/>
        <w:t>5.</w:t>
      </w:r>
      <w:r>
        <w:rPr/>
        <w:t>根据权利要求</w:t>
      </w:r>
      <w:r>
        <w:rPr/>
        <w:t>4</w:t>
      </w:r>
      <w:r>
        <w:rPr/>
        <w:t>所述的</w:t>
      </w:r>
      <w:r>
        <w:rPr/>
        <w:t>一种基于注意力读出与竞争式更新的语言模型外置记忆方法</w:t>
      </w:r>
      <w:r>
        <w:rPr/>
        <w:t>，其特征在于，</w:t>
      </w:r>
      <w:r>
        <w:rPr/>
        <w:t>所述</w:t>
      </w:r>
      <w:r>
        <w:rPr/>
        <w:t>S2</w:t>
      </w:r>
      <w:r>
        <w:rPr/>
        <w:t>还包括：</w:t>
      </w:r>
      <w:r>
        <w:rPr/>
        <w:t>引入提取深度</w:t>
      </w:r>
      <w:r>
        <w:rPr/>
        <w:t>L_E≥0</w:t>
      </w:r>
      <w:r>
        <w:rPr/>
        <w:t>，对ℓ</w:t>
      </w:r>
      <w:r>
        <w:rPr/>
        <w:t>=1,...,L_E</w:t>
      </w:r>
      <w:r>
        <w:rPr/>
        <w:t>迭代执行：</w:t>
      </w:r>
    </w:p>
    <w:p>
      <w:pPr>
        <w:pStyle w:val="Normal"/>
        <w:ind w:firstLine="560"/>
        <w:rPr/>
      </w:pPr>
      <w:r>
        <w:rPr/>
        <w:t>E^(0) = E</w:t>
      </w:r>
      <w:r>
        <w:rPr/>
        <w:t>，</w:t>
      </w:r>
    </w:p>
    <w:p>
      <w:pPr>
        <w:pStyle w:val="Normal"/>
        <w:ind w:firstLine="560"/>
        <w:rPr/>
      </w:pPr>
      <w:r>
        <w:rPr/>
        <w:t>E^(ℓ) = E^(ℓ-1) + CrossAttn^(ext,ℓ)( E^(ℓ-1), C )</w:t>
      </w:r>
      <w:r>
        <w:rPr/>
        <w:t>，</w:t>
      </w:r>
    </w:p>
    <w:p>
      <w:pPr>
        <w:pStyle w:val="Normal"/>
        <w:ind w:firstLine="560"/>
        <w:rPr/>
      </w:pPr>
      <w:r>
        <w:rPr/>
        <w:t>M_new := E^(L_E)</w:t>
      </w:r>
      <w:r>
        <w:rPr/>
        <w:t>，</w:t>
      </w:r>
    </w:p>
    <w:p>
      <w:pPr>
        <w:pStyle w:val="Normal"/>
        <w:ind w:firstLine="560"/>
        <w:rPr/>
      </w:pPr>
      <w:r>
        <w:rPr/>
        <w:t>其中各</w:t>
      </w:r>
      <w:r>
        <w:rPr/>
        <w:t>CrossAttn^(ext,ℓ)</w:t>
      </w:r>
      <w:r>
        <w:rPr/>
        <w:t>拥有独立的可学习参数。</w:t>
      </w:r>
    </w:p>
    <w:p>
      <w:pPr>
        <w:pStyle w:val="Normal"/>
        <w:ind w:firstLine="560"/>
        <w:rPr/>
      </w:pPr>
      <w:r>
        <w:rPr/>
        <w:t>6.</w:t>
      </w:r>
      <w:r>
        <w:rPr/>
        <w:t>根据权利要求</w:t>
      </w:r>
      <w:r>
        <w:rPr/>
        <w:t>1</w:t>
      </w:r>
      <w:r>
        <w:rPr/>
        <w:t>所述的</w:t>
      </w:r>
      <w:r>
        <w:rPr/>
        <w:t>一种基于注意力读出与竞争式更新的语言模型外置记忆方法</w:t>
      </w:r>
      <w:r>
        <w:rPr/>
        <w:t>，其特征在于，</w:t>
      </w:r>
      <w:r>
        <w:rPr/>
        <w:t>所述</w:t>
      </w:r>
      <w:r>
        <w:rPr/>
        <w:t>S3</w:t>
      </w:r>
      <w:r>
        <w:rPr/>
        <w:t>具体包括：</w:t>
      </w:r>
    </w:p>
    <w:p>
      <w:pPr>
        <w:pStyle w:val="Normal"/>
        <w:ind w:firstLine="560"/>
        <w:rPr/>
      </w:pPr>
      <w:r>
        <w:rPr/>
        <w:t>S31</w:t>
      </w:r>
      <w:r>
        <w:rPr/>
        <w:t>，</w:t>
      </w:r>
      <w:r>
        <w:rPr/>
        <w:t>将旧记忆与新候选沿槽位轴拼接：</w:t>
      </w:r>
      <w:r>
        <w:rPr/>
        <w:t>P=[M_c</w:t>
      </w:r>
      <w:r>
        <w:rPr/>
        <w:t>；</w:t>
      </w:r>
      <w:r>
        <w:rPr/>
        <w:t>M_new] ∈ ℝ^(2K×d)</w:t>
      </w:r>
      <w:r>
        <w:rPr/>
        <w:t>；</w:t>
      </w:r>
    </w:p>
    <w:p>
      <w:pPr>
        <w:pStyle w:val="Normal"/>
        <w:ind w:firstLine="560"/>
        <w:rPr/>
      </w:pPr>
      <w:r>
        <w:rPr/>
        <w:t>S32</w:t>
      </w:r>
      <w:r>
        <w:rPr/>
        <w:t>，</w:t>
      </w:r>
      <w:r>
        <w:rPr/>
        <w:t>配置一组可学习的判定查询矩阵</w:t>
      </w:r>
      <w:r>
        <w:rPr/>
        <w:t>M_judge∈ℝ^(K×d)</w:t>
      </w:r>
      <w:r>
        <w:rPr/>
        <w:t>，其行数与最终输出</w:t>
      </w:r>
      <w:r>
        <w:rPr/>
        <w:t>M_c'</w:t>
      </w:r>
      <w:r>
        <w:rPr/>
        <w:t>的槽位数</w:t>
      </w:r>
      <w:r>
        <w:rPr/>
        <w:t>K</w:t>
      </w:r>
      <w:r>
        <w:rPr/>
        <w:t>一致；</w:t>
      </w:r>
      <w:r>
        <w:rPr/>
        <w:t>M_judge</w:t>
      </w:r>
      <w:r>
        <w:rPr/>
        <w:t>以正交初始化并叠加槽位位置编码</w:t>
      </w:r>
      <w:r>
        <w:rPr/>
        <w:t>；</w:t>
      </w:r>
    </w:p>
    <w:p>
      <w:pPr>
        <w:pStyle w:val="Normal"/>
        <w:ind w:firstLine="560"/>
        <w:rPr/>
      </w:pPr>
      <w:r>
        <w:t>S33，以M_judge为初始槽位状态s^(0)，对i=1,...,T迭代执行下述竞争式更新，T为预设迭代次数：</w:t>
      </w:r>
    </w:p>
    <w:p>
      <w:pPr>
        <w:pStyle w:val="Normal"/>
        <w:ind w:firstLine="560"/>
        <w:rPr/>
      </w:pPr>
      <w:r>
        <w:t>Z_i = RMSNorm(s^(i-1))·W_Q^(judge)·(RMSNorm(P)·W_K^(judge))^T / √d；Â_i = norm_slot( Softmax_K(Z_i) )；u_i = Â_i·RMSNorm(P)·W_V^(judge)；s^(i) = GRU(u_i, s^(i-1))；M_c' = RMSNorm(s^(T))，</w:t>
        <w:br/>
        <w:t>其中W_Q^(judge)、W_K^(judge)、W_V^(judge)∈ℝ^(d×d)为可学习投影；Softmax_K表示沿K个记忆槽位方向的softmax归一化，使拼接矩阵P中2K个输入槽位（K个旧槽位与K个新候选槽位）中每一个的注意力质量在K个记忆槽位之间零和分配；norm_slot表示对每一记忆槽位行做加权平均归一化使其行和为1；GRU为权重跨槽位共享、隐状态逐槽位独立的门控循环单元，实现逐槽位的保留/写入门控。</w:t>
      </w:r>
    </w:p>
    <w:p>
      <w:pPr>
        <w:pStyle w:val="Normal"/>
        <w:ind w:firstLine="560"/>
        <w:rPr/>
      </w:pPr>
      <w:r>
        <w:rPr/>
        <w:t>7.</w:t>
      </w:r>
      <w:r>
        <w:rPr/>
        <w:t>根据权利要求</w:t>
      </w:r>
      <w:r>
        <w:rPr/>
        <w:t>6</w:t>
      </w:r>
      <w:r>
        <w:rPr/>
        <w:t>所述的</w:t>
      </w:r>
      <w:r>
        <w:rPr/>
        <w:t>一种基于注意力读出与竞争式更新的语言模型外置记忆方法</w:t>
      </w:r>
      <w:r>
        <w:rPr/>
        <w:t>，其特征在于，</w:t>
      </w:r>
      <w:r>
        <w:rPr/>
        <w:t>所述</w:t>
      </w:r>
      <w:r>
        <w:rPr/>
        <w:t>S3</w:t>
      </w:r>
      <w:r>
        <w:rPr/>
        <w:t>中还包括：</w:t>
      </w:r>
      <w:r>
        <w:rPr/>
        <w:t>在执行</w:t>
      </w:r>
      <w:r>
        <w:rPr/>
        <w:t>Softmax</w:t>
      </w:r>
      <w:r>
        <w:rPr/>
        <w:t>归一化</w:t>
      </w:r>
      <w:r>
        <w:rPr/>
        <w:t>前，对每一输入列在</w:t>
      </w:r>
      <w:r>
        <w:rPr/>
        <w:t>K</w:t>
      </w:r>
      <w:r>
        <w:rPr/>
        <w:t>个输出槽中仅保留得分最高的</w:t>
      </w:r>
      <w:r>
        <w:rPr/>
        <w:t>k</w:t>
      </w:r>
      <w:r>
        <w:rPr/>
        <w:t>个，将其余位置的</w:t>
      </w:r>
      <w:r>
        <w:rPr/>
        <w:t>logits</w:t>
      </w:r>
      <w:r>
        <w:rPr/>
        <w:t>置为</w:t>
      </w:r>
      <w:r>
        <w:rPr/>
        <w:t>-∞</w:t>
      </w:r>
      <w:r>
        <w:rPr/>
        <w:t>，再做</w:t>
      </w:r>
      <w:r>
        <w:rPr/>
        <w:t>Softmax</w:t>
      </w:r>
      <w:r>
        <w:rPr/>
        <w:t>；其中</w:t>
      </w:r>
      <w:r>
        <w:rPr/>
        <w:t>k</w:t>
      </w:r>
      <w:r>
        <w:rPr/>
        <w:t>为预设的小整数</w:t>
      </w:r>
      <w:r>
        <w:rPr/>
        <w:t>；</w:t>
      </w:r>
    </w:p>
    <w:p>
      <w:pPr>
        <w:pStyle w:val="Normal"/>
        <w:ind w:firstLine="560"/>
        <w:rPr/>
      </w:pPr>
      <w:r>
        <w:t>执行Softmax归一化后，追加一个可学习的逐槽位门控向量g∈[0,1]^(K×1)，按下式进行门控融合：M_c' := (1-g) ⊙ M_c + g ⊙ M_judged，其中M_judged表示S33迭代结束后的输出。</w:t>
      </w:r>
    </w:p>
    <w:p>
      <w:pPr>
        <w:sectPr>
          <w:footerReference w:type="default" r:id="rId3"/>
          <w:type w:val="nextPage"/>
          <w:pgSz w:w="11906" w:h="16838"/>
          <w:pgMar w:left="1797" w:right="1418" w:gutter="0" w:header="0" w:top="1440" w:footer="992" w:bottom="1440"/>
          <w:pgNumType w:start="1" w:fmt="decimal"/>
          <w:formProt w:val="false"/>
          <w:textDirection w:val="lrTb"/>
          <w:docGrid w:type="linesAndChars" w:linePitch="312" w:charSpace="0"/>
        </w:sectPr>
        <w:pStyle w:val="Normal"/>
        <w:ind w:firstLine="560"/>
        <w:rPr/>
      </w:pPr>
      <w:r>
        <w:rPr/>
        <w:t>8.</w:t>
      </w:r>
      <w:r>
        <w:rPr/>
        <w:t>根据权利要求</w:t>
      </w:r>
      <w:r>
        <w:rPr/>
        <w:t>2</w:t>
      </w:r>
      <w:r>
        <w:rPr/>
        <w:t>所述的</w:t>
      </w:r>
      <w:r>
        <w:rPr/>
        <w:t>一种基于注意力读出与竞争式更新的语言模型外置记忆方法</w:t>
      </w:r>
      <w:r>
        <w:rPr/>
        <w:t>，其特征在于，</w:t>
      </w:r>
      <w:r>
        <w:rPr/>
        <w:t>所述被注入层索引集合</w:t>
      </w:r>
      <w:r>
        <w:rPr/>
        <w:t>为</w:t>
      </w:r>
      <w:r>
        <w:rPr/>
        <w:t>所有层均注入</w:t>
      </w:r>
      <w:r>
        <w:rPr/>
        <w:t>、</w:t>
      </w:r>
      <w:r>
        <w:rPr/>
        <w:t>仅指定的若干层注入</w:t>
      </w:r>
      <w:r>
        <w:rPr/>
        <w:t>和</w:t>
      </w:r>
      <w:r>
        <w:rPr/>
        <w:t>按可学习的层选择门动态决定注入层</w:t>
      </w:r>
      <w:r>
        <w:rPr/>
        <w:t>中的任意一种。</w:t>
      </w:r>
    </w:p>
    <w:p>
      <w:r>
        <w:t>9.根据权利要求1所述的一种基于注意力读出与竞争式更新的语言模型外置记忆方法，其特征在于，该方法所引入的可学习参数在语言模型本体参数冻结的条件下以端到端语言建模损失训练获得；且训练总损失中还包括一个深度路由记忆占比下限辅助损失L_floor：L_floor=(1/|𝓛|)·Σ_{ℓ∈𝓛} ReLU(τ−ᾱ_{mem,ℓ})，其中𝓛为全部被注入层的集合，ᾱ_{mem,ℓ}为第ℓ层深度路由分配给记忆源b_{-1}的softmax权重α_{b_{-1}→ℓ}在当前训练批次全部token位置上的平均值，τ∈(0,1)为预设下限阈值，ReLU(x)=max(x,0)；训练总损失为L=L_LM+λ_floor·L_floor，其中L_LM为语言建模损失，λ_floor&gt;0为预设权重；该辅助损失仅在训练阶段生效，不改变推理阶段的任何计算。</w:t>
      </w:r>
    </w:p>
    <w:p>
      <w:r>
        <w:t>10.根据权利要求1所述的一种基于注意力读出与竞争式更新的语言模型外置记忆方法，其特征在于，所述S3中的竞争式归一化注意力更新采用单轮判定实现，具体包括：S31'，将旧记忆与新候选沿槽位轴拼接：P=[M_c；M_new]∈ℝ^(2K×d)；S32'，配置一组可学习的判定查询矩阵M_judge∈ℝ^(K×d)，其行数与最终输出M_c'的槽位数K一致；S33'，按下式得到更新后的记忆：M_c'=Softmax(M_judge·W_Q^(judge)·(P·W_K^(judge))^T/√d)·P·W_V^(judge)，其中W_Q^(judge)、W_K^(judge)、W_V^(judge)∈ℝ^(d×d)为可学习投影；所述Softmax沿2K个输入方向归一化，使每一输出槽位的注意力权重在K个旧槽位与K个新候选槽位之间构成一个概率分布，旧槽位内容与新候选内容通过该概率分布实现零和竞争。</w:t>
      </w:r>
    </w:p>
    <w:p>
      <w:r>
        <w:t>11.一种基于注意力读出与竞争式更新的语言模型外置记忆装置，其特征在于，包括：记忆维护模块，用于为每一会话上下文维护一个容量固定、与会话长度和历史长度均无关的记忆矩阵；记忆-注意力注入模块，用于执行如权利要求1至10中任一项所述方法中的步骤S1；自动改写模块，用于执行如权利要求1至10中任一项所述方法中的步骤S2；两阶段竞争模块，用于执行如权利要求1至10中任一项所述方法中的步骤S3。</w:t>
      </w:r>
    </w:p>
    <w:p>
      <w:r>
        <w:t>12.一种电子设备，其特征在于，包括处理器与存储器，所述存储器存储有计算机程序，所述计算机程序被所述处理器执行时，实现如权利要求1至10中任一项所述的基于注意力读出与竞争式更新的语言模型外置记忆方法。</w:t>
      </w:r>
    </w:p>
    <w:p>
      <w:r>
        <w:t>13.一种计算机可读存储介质，其上存储有计算机程序，其特征在于，所述计算机程序被处理器执行时，实现如权利要求1至10中任一项所述的基于注意力读出与竞争式更新的语言模型外置记忆方法。</w:t>
      </w:r>
    </w:p>
    <w:p>
      <w:pPr>
        <w:pStyle w:val="Normal"/>
        <w:jc w:val="center"/>
        <w:rPr/>
      </w:pPr>
      <w:r>
        <mc:AlternateContent>
          <mc:Choice Requires="wps">
            <w:drawing>
              <wp:anchor behindDoc="0" distT="0" distB="0" distL="114935" distR="114935" simplePos="0" locked="0" layoutInCell="0" allowOverlap="1" relativeHeight="6">
                <wp:simplePos x="0" y="0"/>
                <wp:positionH relativeFrom="column">
                  <wp:posOffset>-342900</wp:posOffset>
                </wp:positionH>
                <wp:positionV relativeFrom="paragraph">
                  <wp:posOffset>396240</wp:posOffset>
                </wp:positionV>
                <wp:extent cx="6057900" cy="0"/>
                <wp:effectExtent l="0" t="9525" r="0" b="9525"/>
                <wp:wrapNone/>
                <wp:docPr id="3" name="直线 4"/>
                <a:graphic xmlns:a="http://schemas.openxmlformats.org/drawingml/2006/main">
                  <a:graphicData uri="http://schemas.microsoft.com/office/word/2010/wordprocessingShape">
                    <wps:wsp>
                      <wps:cNvSpPr/>
                      <wps:spPr>
                        <a:xfrm>
                          <a:off x="0" y="0"/>
                          <a:ext cx="6058080" cy="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27pt,31.2pt" to="449.95pt,31.2pt" ID="直线 4" stroked="t" o:allowincell="f" style="position:absolute">
                <v:stroke color="black" weight="19080" joinstyle="miter" endcap="flat"/>
                <v:fill o:detectmouseclick="t" on="false"/>
                <w10:wrap type="none"/>
              </v:line>
            </w:pict>
          </mc:Fallback>
        </mc:AlternateContent>
      </w:r>
      <w:r>
        <w:rPr>
          <w:rFonts w:eastAsia="楷体_GB2312;楷体"/>
          <w:sz w:val="36"/>
        </w:rPr>
        <w:t>说</w:t>
      </w:r>
      <w:r>
        <w:rPr>
          <w:sz w:val="36"/>
        </w:rPr>
        <w:t xml:space="preserve">  </w:t>
      </w:r>
      <w:r>
        <w:rPr>
          <w:sz w:val="36"/>
        </w:rPr>
        <w:t xml:space="preserve"> </w:t>
      </w:r>
      <w:r>
        <w:rPr>
          <w:rFonts w:eastAsia="楷体_GB2312;楷体"/>
          <w:sz w:val="36"/>
        </w:rPr>
        <w:t>明</w:t>
      </w:r>
      <w:r>
        <w:rPr>
          <w:sz w:val="36"/>
        </w:rPr>
        <w:t xml:space="preserve">  </w:t>
      </w:r>
      <w:r>
        <w:rPr>
          <w:sz w:val="36"/>
        </w:rPr>
        <w:t xml:space="preserve"> </w:t>
      </w:r>
      <w:r>
        <w:rPr>
          <w:rFonts w:eastAsia="楷体_GB2312;楷体"/>
          <w:sz w:val="36"/>
        </w:rPr>
        <w:t>书</w:t>
      </w:r>
    </w:p>
    <w:p>
      <w:pPr>
        <w:pStyle w:val="Normal"/>
        <w:jc w:val="center"/>
        <w:rPr/>
      </w:pPr>
      <w:r>
        <w:rPr/>
        <w:t>一种基于注意力读出与竞争式更新的语言模型外置记忆方法</w:t>
      </w:r>
    </w:p>
    <w:p>
      <w:pPr>
        <w:pStyle w:val="Normal"/>
        <w:rPr/>
      </w:pPr>
      <w:r>
        <w:rPr>
          <w:b/>
          <w:bCs/>
        </w:rPr>
        <w:t>技术领域</w:t>
      </w:r>
    </w:p>
    <w:p>
      <w:pPr>
        <w:pStyle w:val="Normal"/>
        <w:ind w:firstLine="560"/>
        <w:rPr/>
      </w:pPr>
      <w:r>
        <w:rPr/>
        <w:t>本发明属于</w:t>
      </w:r>
      <w:r>
        <w:rPr>
          <w:color w:val="0F1115"/>
          <w:shd w:fill="FFFFFF" w:val="clear"/>
        </w:rPr>
        <w:t>人工神经网络与自然语言处理</w:t>
      </w:r>
      <w:r>
        <w:rPr/>
        <w:t>技术领域，尤其涉及到</w:t>
      </w:r>
      <w:r>
        <w:rPr/>
        <w:t>一种基于注意力读出与竞争式更新的语言模型外置记忆方法</w:t>
      </w:r>
      <w:r>
        <w:rPr/>
        <w:t>。</w:t>
      </w:r>
    </w:p>
    <w:p>
      <w:pPr>
        <w:pStyle w:val="Normal"/>
        <w:rPr>
          <w:b/>
          <w:b/>
          <w:bCs/>
        </w:rPr>
      </w:pPr>
      <w:r>
        <w:rPr>
          <w:b/>
          <w:bCs/>
        </w:rPr>
        <w:t>背景技术</w:t>
      </w:r>
    </w:p>
    <w:p>
      <w:pPr>
        <w:pStyle w:val="Normal"/>
        <w:spacing w:before="0" w:after="80"/>
        <w:ind w:firstLine="560"/>
        <w:jc w:val="left"/>
        <w:rPr/>
      </w:pPr>
      <w:r>
        <w:rPr/>
        <w:t>近年来部署于对话场景的大型预训练语言模型（</w:t>
      </w:r>
      <w:r>
        <w:rPr/>
        <w:t>Large Language Model</w:t>
      </w:r>
      <w:r>
        <w:rPr/>
        <w:t>，以下简称</w:t>
      </w:r>
      <w:r>
        <w:rPr/>
        <w:t>LLM</w:t>
      </w:r>
      <w:r>
        <w:rPr/>
        <w:t>）在长期会话、跨会话回忆、多日累积上下文等</w:t>
      </w:r>
      <w:r>
        <w:rPr/>
        <w:t>"</w:t>
      </w:r>
      <w:r>
        <w:rPr/>
        <w:t>长程记忆</w:t>
      </w:r>
      <w:r>
        <w:rPr/>
        <w:t>"</w:t>
      </w:r>
      <w:r>
        <w:rPr/>
        <w:t>任务上存在显著困难；本领域目前主要采用以下三类已有技术方案：</w:t>
      </w:r>
    </w:p>
    <w:p>
      <w:pPr>
        <w:pStyle w:val="Normal"/>
        <w:spacing w:before="0" w:after="80"/>
        <w:ind w:firstLine="560"/>
        <w:jc w:val="left"/>
        <w:rPr/>
      </w:pPr>
      <w:r>
        <w:rPr/>
        <w:t>1.</w:t>
      </w:r>
      <w:r>
        <w:rPr/>
        <w:t>扩展上下文窗口（</w:t>
      </w:r>
      <w:r>
        <w:rPr/>
        <w:t>Extended Context Window</w:t>
      </w:r>
      <w:r>
        <w:rPr/>
        <w:t xml:space="preserve">）方案；该方案将历史对话以原始文本形式拼接到本次推理的输入上下文中，设上下文长度为 </w:t>
      </w:r>
      <w:r>
        <w:rPr/>
        <w:t>N</w:t>
      </w:r>
      <w:r>
        <w:rPr/>
        <w:t xml:space="preserve">，则标准自注意力的计算复杂度为 </w:t>
      </w:r>
      <w:r>
        <w:rPr/>
        <w:t>O(N^2)</w:t>
      </w:r>
      <w:r>
        <w:rPr/>
        <w:t>，在线性注意力变体中亦呈超线性增长。此外，每次推理需在显存中维护键值缓存（</w:t>
      </w:r>
      <w:r>
        <w:rPr/>
        <w:t>KV-cache</w:t>
      </w:r>
      <w:r>
        <w:rPr/>
        <w:t xml:space="preserve">），其占用与 </w:t>
      </w:r>
      <w:r>
        <w:rPr/>
        <w:t xml:space="preserve">N </w:t>
      </w:r>
      <w:r>
        <w:rPr/>
        <w:t>成正比。代表性现有技术包括：长上下文</w:t>
      </w:r>
      <w:r>
        <w:rPr/>
        <w:t>Transformer</w:t>
      </w:r>
      <w:r>
        <w:rPr/>
        <w:t xml:space="preserve">类（如 </w:t>
      </w:r>
      <w:r>
        <w:rPr/>
        <w:t>Longformer</w:t>
      </w:r>
      <w:r>
        <w:rPr/>
        <w:t>、</w:t>
      </w:r>
      <w:r>
        <w:rPr/>
        <w:t>BigBird</w:t>
      </w:r>
      <w:r>
        <w:rPr/>
        <w:t>、</w:t>
      </w:r>
      <w:r>
        <w:rPr/>
        <w:t xml:space="preserve">StreamingLLM </w:t>
      </w:r>
      <w:r>
        <w:rPr/>
        <w:t>等）；通过位置插值</w:t>
      </w:r>
      <w:r>
        <w:rPr/>
        <w:t>/</w:t>
      </w:r>
      <w:r>
        <w:rPr/>
        <w:t xml:space="preserve">外推扩展窗口长度的方法（如 </w:t>
      </w:r>
      <w:r>
        <w:rPr/>
        <w:t>Position Interpolation</w:t>
      </w:r>
      <w:r>
        <w:rPr/>
        <w:t>、</w:t>
      </w:r>
      <w:r>
        <w:rPr/>
        <w:t xml:space="preserve">YaRN </w:t>
      </w:r>
      <w:r>
        <w:rPr/>
        <w:t>等）；</w:t>
      </w:r>
    </w:p>
    <w:p>
      <w:pPr>
        <w:pStyle w:val="Normal"/>
        <w:spacing w:before="0" w:after="80"/>
        <w:ind w:firstLine="560"/>
        <w:jc w:val="left"/>
        <w:rPr/>
      </w:pPr>
      <w:r>
        <w:rPr/>
        <w:t>2.</w:t>
      </w:r>
      <w:r>
        <w:rPr/>
        <w:t>检索增强生成（</w:t>
      </w:r>
      <w:r>
        <w:rPr/>
        <w:t>Retrieval-Augmented Generation</w:t>
      </w:r>
      <w:r>
        <w:rPr/>
        <w:t>，</w:t>
      </w:r>
      <w:r>
        <w:rPr/>
        <w:t>RAG</w:t>
      </w:r>
      <w:r>
        <w:rPr/>
        <w:t xml:space="preserve">）方案；该方案将历史对话存入外部向量数据库，推理时先用嵌入模型对当前查询进行向量化、再以相似度检索方式取回若干段历史文本片段，并将这些片段重新拼入语言模型的上下文窗口。代表性现有技术包括传统 </w:t>
      </w:r>
      <w:r>
        <w:rPr/>
        <w:t xml:space="preserve">RAG </w:t>
      </w:r>
      <w:r>
        <w:rPr/>
        <w:t>管线、各类检索式对话系统、以及</w:t>
      </w:r>
      <w:r>
        <w:rPr/>
        <w:t>"</w:t>
      </w:r>
      <w:r>
        <w:rPr/>
        <w:t>长期记忆插件</w:t>
      </w:r>
      <w:r>
        <w:rPr/>
        <w:t>"</w:t>
      </w:r>
      <w:r>
        <w:rPr/>
        <w:t>类外接组件；</w:t>
      </w:r>
    </w:p>
    <w:p>
      <w:pPr>
        <w:pStyle w:val="Normal"/>
        <w:spacing w:before="0" w:after="80"/>
        <w:ind w:firstLine="560"/>
        <w:jc w:val="left"/>
        <w:rPr/>
      </w:pPr>
      <w:r>
        <w:rPr/>
        <w:t>3.</w:t>
      </w:r>
      <w:r>
        <w:rPr/>
        <w:t>用户级微调（</w:t>
      </w:r>
      <w:r>
        <w:rPr/>
        <w:t>Per-user Fine-tuning</w:t>
      </w:r>
      <w:r>
        <w:rPr/>
        <w:t>）方案；该方案对每个用户的对话历史在语言模型本体权重上进行增量微调，例如全参数微调、</w:t>
      </w:r>
      <w:r>
        <w:rPr/>
        <w:t>LoRA</w:t>
      </w:r>
      <w:r>
        <w:rPr/>
        <w:t>、</w:t>
      </w:r>
      <w:r>
        <w:rPr/>
        <w:t>Adapter</w:t>
      </w:r>
      <w:r>
        <w:rPr/>
        <w:t>等参数高效微调方法。</w:t>
      </w:r>
    </w:p>
    <w:p>
      <w:pPr>
        <w:pStyle w:val="Normal"/>
        <w:spacing w:before="0" w:after="80"/>
        <w:ind w:firstLine="560"/>
        <w:jc w:val="left"/>
        <w:rPr/>
      </w:pPr>
      <w:r>
        <w:rPr/>
        <w:t>现有技术的缺点：</w:t>
      </w:r>
    </w:p>
    <w:p>
      <w:pPr>
        <w:pStyle w:val="Normal"/>
        <w:spacing w:before="0" w:after="80"/>
        <w:ind w:firstLine="560"/>
        <w:jc w:val="left"/>
        <w:rPr/>
      </w:pPr>
      <w:r>
        <w:rPr/>
        <w:t>1.</w:t>
      </w:r>
      <w:r>
        <w:rPr/>
        <w:t>关于扩展上下文窗口方案的缺点：（</w:t>
      </w:r>
      <w:r>
        <w:rPr/>
        <w:t>1</w:t>
      </w:r>
      <w:r>
        <w:rPr/>
        <w:t>）随会话长度增加，单次推理的算力与显存成本单调增长，呈二次方或超线性，长期使用经济上不可持续；（</w:t>
      </w:r>
      <w:r>
        <w:rPr/>
        <w:t>2</w:t>
      </w:r>
      <w:r>
        <w:rPr/>
        <w:t>）注意力机制在长上下文中段存在</w:t>
      </w:r>
      <w:r>
        <w:rPr/>
        <w:t>"</w:t>
      </w:r>
      <w:r>
        <w:rPr/>
        <w:t>信息中部丢失</w:t>
      </w:r>
      <w:r>
        <w:rPr/>
        <w:t>"</w:t>
      </w:r>
      <w:r>
        <w:rPr/>
        <w:t>现象，即模型对位于上下文中部的信息利用率显著下降；（</w:t>
      </w:r>
      <w:r>
        <w:rPr/>
        <w:t>3</w:t>
      </w:r>
      <w:r>
        <w:rPr/>
        <w:t>）多数预训练模型对超出其训练时窗口长度的上下文外推能力弱，强行扩展会引入分布偏移；（</w:t>
      </w:r>
      <w:r>
        <w:rPr/>
        <w:t>4</w:t>
      </w:r>
      <w:r>
        <w:rPr/>
        <w:t>）历史信息以原始</w:t>
      </w:r>
      <w:r>
        <w:rPr/>
        <w:t>token</w:t>
      </w:r>
      <w:r>
        <w:rPr/>
        <w:t>形式重复进入上下文，缺乏</w:t>
      </w:r>
      <w:r>
        <w:rPr/>
        <w:t>"</w:t>
      </w:r>
      <w:r>
        <w:rPr/>
        <w:t>应记什么、应忘什么</w:t>
      </w:r>
      <w:r>
        <w:rPr/>
        <w:t>"</w:t>
      </w:r>
      <w:r>
        <w:rPr/>
        <w:t>的主动判别机制。</w:t>
      </w:r>
    </w:p>
    <w:p>
      <w:pPr>
        <w:pStyle w:val="Normal"/>
        <w:spacing w:before="0" w:after="80"/>
        <w:ind w:firstLine="560"/>
        <w:jc w:val="left"/>
        <w:rPr/>
      </w:pPr>
      <w:r>
        <w:rPr/>
        <w:t>关于检索增强生成方案的缺点：（</w:t>
      </w:r>
      <w:r>
        <w:rPr/>
        <w:t>1</w:t>
      </w:r>
      <w:r>
        <w:rPr/>
        <w:t>）依赖外部独立基础设施（嵌入模型、向量库、检索管线、重排序模型），系统复杂度高，部署运维成本高；（</w:t>
      </w:r>
      <w:r>
        <w:rPr/>
        <w:t>2</w:t>
      </w:r>
      <w:r>
        <w:rPr/>
        <w:t>）检索器与语言模型在训练阶段相互解耦，无法联合学习</w:t>
      </w:r>
      <w:r>
        <w:rPr/>
        <w:t>"</w:t>
      </w:r>
      <w:r>
        <w:rPr/>
        <w:t>什么内容值得记忆</w:t>
      </w:r>
      <w:r>
        <w:rPr/>
        <w:t>"</w:t>
      </w:r>
      <w:r>
        <w:rPr/>
        <w:t>，记忆策略只能由人工启发式设计；（</w:t>
      </w:r>
      <w:r>
        <w:rPr/>
        <w:t>3</w:t>
      </w:r>
      <w:r>
        <w:rPr/>
        <w:t>）检索结果以自然语言文本形式回注上下文，仍然消耗与扩展窗口方案同等的</w:t>
      </w:r>
      <w:r>
        <w:rPr/>
        <w:t>token</w:t>
      </w:r>
      <w:r>
        <w:rPr/>
        <w:t>级算力；（</w:t>
      </w:r>
      <w:r>
        <w:rPr/>
        <w:t>4</w:t>
      </w:r>
      <w:r>
        <w:rPr/>
        <w:t>）每个用户的检索状态需在语言模型外部独立维护，难以满足端侧（</w:t>
      </w:r>
      <w:r>
        <w:rPr/>
        <w:t>on-device</w:t>
      </w:r>
      <w:r>
        <w:rPr/>
        <w:t>）私有记忆的需求。</w:t>
      </w:r>
    </w:p>
    <w:p>
      <w:pPr>
        <w:pStyle w:val="Normal"/>
        <w:spacing w:before="0" w:after="80"/>
        <w:ind w:firstLine="560"/>
        <w:jc w:val="left"/>
        <w:rPr/>
      </w:pPr>
      <w:r>
        <w:rPr/>
        <w:t>关于用户级微调方案的缺点：（</w:t>
      </w:r>
      <w:r>
        <w:rPr/>
        <w:t>1</w:t>
      </w:r>
      <w:r>
        <w:rPr/>
        <w:t>）对每用户进行参数更新的算力开销巨大，难以扩展到大规模用户群；（</w:t>
      </w:r>
      <w:r>
        <w:rPr/>
        <w:t>2</w:t>
      </w:r>
      <w:r>
        <w:rPr/>
        <w:t>）微调容易引发灾难性遗忘（</w:t>
      </w:r>
      <w:r>
        <w:rPr/>
        <w:t>catastrophic forgetting</w:t>
      </w:r>
      <w:r>
        <w:rPr/>
        <w:t>），损害预训练阶段所学的通用能力；（</w:t>
      </w:r>
      <w:r>
        <w:rPr/>
        <w:t>3</w:t>
      </w:r>
      <w:r>
        <w:rPr/>
        <w:t>）每用户单独的参数副本体积通常远大于一段对话历史所需的存储空间，端侧部署不经济；（</w:t>
      </w:r>
      <w:r>
        <w:rPr/>
        <w:t>4</w:t>
      </w:r>
      <w:r>
        <w:rPr/>
        <w:t>）一旦微调完成，模型即</w:t>
      </w:r>
      <w:r>
        <w:rPr/>
        <w:t>"</w:t>
      </w:r>
      <w:r>
        <w:rPr/>
        <w:t>固化</w:t>
      </w:r>
      <w:r>
        <w:rPr/>
        <w:t>"</w:t>
      </w:r>
      <w:r>
        <w:rPr/>
        <w:t>了用户信息，难以做到主动忘记或细粒度更新某条具体记忆。</w:t>
      </w:r>
    </w:p>
    <w:p>
      <w:pPr>
        <w:pStyle w:val="Normal"/>
        <w:rPr/>
      </w:pPr>
      <w:r>
        <w:rPr>
          <w:b/>
          <w:bCs/>
        </w:rPr>
        <w:t>发明内容</w:t>
      </w:r>
    </w:p>
    <w:p>
      <w:pPr>
        <w:pStyle w:val="Normal"/>
        <w:ind w:firstLine="560"/>
        <w:rPr/>
      </w:pPr>
      <w:r>
        <w:rPr/>
        <w:t>本发明的目的在于克服上述现有技术中存在的不足，本发明</w:t>
      </w:r>
      <w:r>
        <w:rPr>
          <w:color w:val="0F1115"/>
          <w:shd w:fill="FFFFFF" w:val="clear"/>
        </w:rPr>
        <w:t>能够在不修改预训练语言模型本体参数、不依赖任何外部检索系统、不扩展模型上下文窗口的前提下，使语言模型在前向推理过程中以恒定的、与历史长度无关的计算开销访问跨会话长程信息，并由方法本身判定哪些历史信息应被保留、哪些应被覆盖</w:t>
      </w:r>
      <w:r>
        <w:rPr/>
        <w:t>。</w:t>
      </w:r>
    </w:p>
    <w:p>
      <w:pPr>
        <w:pStyle w:val="Normal"/>
        <w:ind w:firstLine="560"/>
        <w:rPr/>
      </w:pPr>
      <w:r>
        <w:rPr/>
        <w:t>为了实现上述发明目的，本发明专利提供的技术方案如下：</w:t>
      </w:r>
    </w:p>
    <w:p>
      <w:pPr>
        <w:pStyle w:val="Normal"/>
        <w:ind w:firstLine="560"/>
        <w:rPr/>
      </w:pPr>
      <w:r>
        <w:rPr/>
        <w:t>一种基于注意力读出与竞争式更新的语言模型外置记忆方法</w:t>
      </w:r>
      <w:r>
        <w:rPr/>
        <w:t>，该方法具体包括如下步骤：</w:t>
      </w:r>
    </w:p>
    <w:p>
      <w:pPr>
        <w:pStyle w:val="Normal"/>
        <w:ind w:firstLine="560"/>
        <w:rPr/>
      </w:pPr>
      <w:r>
        <w:t>S1，记忆-注意力注入，在每一次推理会话内，对于语言模型的一个或多个指定层，以该层的输入隐状态作为查询，从固定容量记忆矩阵中以跨层注意力方式读出一个记忆读出量，对所述记忆读出量以所述记忆矩阵为键值进行至少一次残差式迭代精化，并将精化后的记忆读出量通过深度路由机制注入该层的残差流；</w:t>
      </w:r>
    </w:p>
    <w:p>
      <w:pPr>
        <w:pStyle w:val="Normal"/>
        <w:ind w:firstLine="560"/>
        <w:rPr/>
      </w:pPr>
      <w:r>
        <w:t>S2，自动改写，在一次会话结束之后、所述记忆矩阵被后续会话读出之前，以一组可学习的改写查询作用于刚结束的本次会话的token表征序列，通过跨层注意力将该会话所含信息压缩为一个与记忆矩阵形状一致的候选记忆矩阵；</w:t>
      </w:r>
    </w:p>
    <w:p>
      <w:pPr>
        <w:pStyle w:val="Normal"/>
        <w:ind w:firstLine="560"/>
        <w:rPr/>
      </w:pPr>
      <w:r>
        <w:t>S3，两阶段竞争，将旧记忆矩阵与候选矩阵沿槽位维拼接为长度为2K的拼接矩阵，以一组可学习的判定查询作用于拼接矩阵，执行基于softmax归一化的竞争式注意力更新，使旧槽位内容与新候选内容通过softmax归一化构成零和竞争，由竞争结果决定更新后记忆矩阵中每一槽位的内容，产出更新后的记忆矩阵，作为下一会话的初始记忆。</w:t>
      </w:r>
    </w:p>
    <w:p>
      <w:pPr>
        <w:pStyle w:val="Normal"/>
        <w:ind w:firstLine="560"/>
        <w:rPr/>
      </w:pPr>
      <w:r>
        <w:rPr/>
        <w:t>进一步地，所述</w:t>
      </w:r>
      <w:r>
        <w:rPr>
          <w:bCs/>
        </w:rPr>
        <w:t>语言模型的解码器层数为</w:t>
      </w:r>
      <w:r>
        <w:rPr>
          <w:bCs/>
        </w:rPr>
        <w:t>L</w:t>
      </w:r>
      <w:r>
        <w:rPr>
          <w:bCs/>
        </w:rPr>
        <w:t xml:space="preserve">，设置一个或多个被注入层的索引集合ℓ∈ </w:t>
      </w:r>
      <w:r>
        <w:rPr>
          <w:bCs/>
        </w:rPr>
        <w:t>{ℓ_1, ℓ_2, …, ℓ_m} ⊆ {1, 2, …, L}</w:t>
      </w:r>
      <w:r>
        <w:rPr>
          <w:bCs/>
        </w:rPr>
        <w:t>；所述</w:t>
      </w:r>
      <w:r>
        <w:rPr/>
        <w:t>S1</w:t>
      </w:r>
      <w:r>
        <w:rPr/>
        <w:t>中</w:t>
      </w:r>
      <w:r>
        <w:rPr/>
        <w:t>记忆</w:t>
      </w:r>
      <w:r>
        <w:rPr/>
        <w:t>-</w:t>
      </w:r>
      <w:r>
        <w:rPr/>
        <w:t>注意力注入</w:t>
      </w:r>
      <w:r>
        <w:rPr/>
        <w:t>具体为：</w:t>
      </w:r>
    </w:p>
    <w:p>
      <w:pPr>
        <w:pStyle w:val="Normal"/>
        <w:ind w:firstLine="560"/>
        <w:rPr>
          <w:bCs/>
        </w:rPr>
      </w:pPr>
      <w:r>
        <w:rPr/>
        <w:t>S11</w:t>
      </w:r>
      <w:r>
        <w:rPr/>
        <w:t>，</w:t>
      </w:r>
      <w:r>
        <w:rPr>
          <w:bCs/>
        </w:rPr>
        <w:t xml:space="preserve">为每一被注入层ℓ配置该层独有的可学习投影矩阵 </w:t>
      </w:r>
      <w:r>
        <w:rPr>
          <w:bCs/>
        </w:rPr>
        <w:t>W_Q^(read,ℓ)</w:t>
      </w:r>
      <w:r>
        <w:rPr>
          <w:bCs/>
        </w:rPr>
        <w:t>、</w:t>
      </w:r>
      <w:r>
        <w:rPr>
          <w:bCs/>
        </w:rPr>
        <w:t>W_K^(read,ℓ)</w:t>
      </w:r>
      <w:r>
        <w:rPr>
          <w:bCs/>
        </w:rPr>
        <w:t>、</w:t>
      </w:r>
      <w:r>
        <w:rPr>
          <w:bCs/>
        </w:rPr>
        <w:t>W_V^(read,ℓ) ∈ ℝ^{d×d}</w:t>
      </w:r>
      <w:r>
        <w:rPr>
          <w:bCs/>
        </w:rPr>
        <w:t xml:space="preserve">；设该层在当前推理位置的输入隐状态序列为 </w:t>
      </w:r>
      <w:r>
        <w:rPr>
          <w:bCs/>
        </w:rPr>
        <w:t>X_ℓ ∈ ℝ^{N×d}</w:t>
      </w:r>
      <w:r>
        <w:rPr>
          <w:bCs/>
        </w:rPr>
        <w:t>，其中</w:t>
      </w:r>
      <w:r>
        <w:rPr>
          <w:bCs/>
        </w:rPr>
        <w:t>N</w:t>
      </w:r>
      <w:r>
        <w:rPr>
          <w:bCs/>
        </w:rPr>
        <w:t>为当前序列长度；</w:t>
      </w:r>
    </w:p>
    <w:p>
      <w:pPr>
        <w:pStyle w:val="Normal"/>
        <w:ind w:firstLine="560"/>
        <w:rPr/>
      </w:pPr>
      <w:r>
        <w:rPr>
          <w:bCs/>
        </w:rPr>
        <w:t>S12</w:t>
      </w:r>
      <w:r>
        <w:rPr>
          <w:bCs/>
        </w:rPr>
        <w:t>，从</w:t>
      </w:r>
      <w:r>
        <w:rPr/>
        <w:t>固定容量记忆矩阵获得当前层、当前位置的记忆读出量</w:t>
      </w:r>
      <w:r>
        <w:rPr/>
        <w:t>，具体获取为：</w:t>
      </w:r>
    </w:p>
    <w:p>
      <w:pPr>
        <w:pStyle w:val="Normal"/>
        <w:rPr/>
      </w:pPr>
      <w:r>
        <w:rPr/>
        <w:t>m_ℓ=Softmax(X_ℓ·W_Q^(read,ℓ)·(M_c·W_K^(read,ℓ))^T/√d )· M_c·W_V^(read,ℓ)</w:t>
      </w:r>
      <w:r>
        <w:rPr/>
        <w:t>；</w:t>
      </w:r>
      <w:r>
        <w:rPr/>
        <w:br/>
      </w:r>
      <w:r>
        <w:rPr/>
        <w:t>其中</w:t>
      </w:r>
      <w:r>
        <w:rPr/>
        <w:t>X_ℓ∈ℝ^(N×d)</w:t>
      </w:r>
      <w:r>
        <w:rPr/>
        <w:t>为该层当前输入隐状态序列，</w:t>
      </w:r>
      <w:r>
        <w:rPr/>
        <w:t>Softmax</w:t>
      </w:r>
      <w:r>
        <w:rPr/>
        <w:t>沿</w:t>
      </w:r>
      <w:r>
        <w:rPr/>
        <w:t>K</w:t>
      </w:r>
      <w:r>
        <w:rPr/>
        <w:t>维度归一化；</w:t>
      </w:r>
    </w:p>
    <w:p>
      <w:pPr>
        <w:pStyle w:val="Normal"/>
        <w:ind w:firstLine="560"/>
        <w:rPr>
          <w:bCs/>
        </w:rPr>
      </w:pPr>
      <w:r>
        <w:rPr>
          <w:bCs/>
        </w:rPr>
        <w:t>S13</w:t>
      </w:r>
      <w:r>
        <w:rPr>
          <w:bCs/>
        </w:rPr>
        <w:t xml:space="preserve">，将得到的 </w:t>
      </w:r>
      <w:r>
        <w:rPr>
          <w:bCs/>
        </w:rPr>
        <w:t xml:space="preserve">m_ℓ </w:t>
      </w:r>
      <w:r>
        <w:rPr>
          <w:bCs/>
        </w:rPr>
        <w:t>作为该层的基础源加入残差流的可选源池中，设该层在沿深度方向已积累的可路由源池为：</w:t>
      </w:r>
    </w:p>
    <w:p>
      <w:pPr>
        <w:pStyle w:val="Normal"/>
        <w:spacing w:before="0" w:after="80"/>
        <w:jc w:val="left"/>
        <w:rPr>
          <w:bCs/>
        </w:rPr>
      </w:pPr>
      <w:r>
        <w:rPr>
          <w:bCs/>
        </w:rPr>
        <w:t>V_{ℓ}=[b_{-1}, b_0, b_1, …, b_{ℓ-1} ]</w:t>
      </w:r>
      <w:r>
        <w:rPr>
          <w:bCs/>
        </w:rPr>
        <w:t>，</w:t>
      </w:r>
    </w:p>
    <w:p>
      <w:pPr>
        <w:pStyle w:val="Normal"/>
        <w:spacing w:before="0" w:after="80"/>
        <w:jc w:val="left"/>
        <w:rPr>
          <w:bCs/>
        </w:rPr>
      </w:pPr>
      <w:r>
        <w:rPr>
          <w:bCs/>
        </w:rPr>
        <w:t xml:space="preserve">其中 </w:t>
      </w:r>
      <w:r>
        <w:rPr>
          <w:bCs/>
        </w:rPr>
        <w:t xml:space="preserve">b_{-1}:= m_ℓ </w:t>
      </w:r>
      <w:r>
        <w:rPr>
          <w:bCs/>
        </w:rPr>
        <w:t>表示由本方法注入的记忆源，</w:t>
      </w:r>
      <w:r>
        <w:rPr>
          <w:bCs/>
        </w:rPr>
        <w:t xml:space="preserve">b_0 </w:t>
      </w:r>
      <w:r>
        <w:rPr>
          <w:bCs/>
        </w:rPr>
        <w:t>表示</w:t>
      </w:r>
      <w:r>
        <w:rPr>
          <w:bCs/>
        </w:rPr>
        <w:t>embedding</w:t>
      </w:r>
      <w:r>
        <w:rPr>
          <w:bCs/>
        </w:rPr>
        <w:t>层输出，</w:t>
      </w:r>
      <w:r>
        <w:rPr>
          <w:bCs/>
        </w:rPr>
        <w:t xml:space="preserve">b_1 … b_{ℓ-1} </w:t>
      </w:r>
      <w:r>
        <w:rPr>
          <w:bCs/>
        </w:rPr>
        <w:t xml:space="preserve">表示来自此前各解码块的中间残差源；以可学习的伪查询 </w:t>
      </w:r>
      <w:r>
        <w:rPr>
          <w:bCs/>
        </w:rPr>
        <w:t xml:space="preserve">w_ℓ </w:t>
      </w:r>
      <w:r>
        <w:rPr>
          <w:bCs/>
        </w:rPr>
        <w:t xml:space="preserve">对 </w:t>
      </w:r>
      <w:r>
        <w:rPr>
          <w:bCs/>
        </w:rPr>
        <w:t xml:space="preserve">V_{ℓ} </w:t>
      </w:r>
      <w:r>
        <w:rPr>
          <w:bCs/>
        </w:rPr>
        <w:t>中的各源做</w:t>
      </w:r>
      <w:r>
        <w:rPr>
          <w:bCs/>
        </w:rPr>
        <w:t>softmax</w:t>
      </w:r>
      <w:r>
        <w:rPr>
          <w:bCs/>
        </w:rPr>
        <w:t>加权：</w:t>
      </w:r>
    </w:p>
    <w:p>
      <w:pPr>
        <w:pStyle w:val="Normal"/>
        <w:spacing w:before="0" w:after="80"/>
        <w:jc w:val="left"/>
        <w:rPr>
          <w:bCs/>
        </w:rPr>
      </w:pPr>
      <w:r>
        <w:rPr>
          <w:bCs/>
        </w:rPr>
        <w:t>α_{v→ℓ} =exp( w_ℓ·RMSNorm(v))/Σ_{v'∈ V_ℓ}exp( w_ℓ·RMSNorm(v') )</w:t>
      </w:r>
      <w:r>
        <w:rPr>
          <w:bCs/>
        </w:rPr>
        <w:t>，</w:t>
      </w:r>
    </w:p>
    <w:p>
      <w:pPr>
        <w:pStyle w:val="Normal"/>
        <w:spacing w:before="0" w:after="80"/>
        <w:jc w:val="left"/>
        <w:rPr>
          <w:bCs/>
        </w:rPr>
      </w:pPr>
      <w:r>
        <w:rPr>
          <w:bCs/>
        </w:rPr>
        <w:t>h_ℓ=Σ_{v∈V_ℓ}α_{v→ℓ}·v</w:t>
      </w:r>
      <w:r>
        <w:rPr>
          <w:bCs/>
        </w:rPr>
        <w:t>；</w:t>
      </w:r>
    </w:p>
    <w:p>
      <w:pPr>
        <w:pStyle w:val="Normal"/>
        <w:rPr>
          <w:bCs/>
        </w:rPr>
      </w:pPr>
      <w:r>
        <w:rPr>
          <w:bCs/>
        </w:rPr>
        <w:t xml:space="preserve">并以 </w:t>
      </w:r>
      <w:r>
        <w:rPr>
          <w:bCs/>
        </w:rPr>
        <w:t xml:space="preserve">h_ℓ </w:t>
      </w:r>
      <w:r>
        <w:rPr>
          <w:bCs/>
        </w:rPr>
        <w:t>作为该层后续子层的实际输入。</w:t>
      </w:r>
    </w:p>
    <w:p>
      <w:pPr>
        <w:pStyle w:val="Normal"/>
        <w:ind w:firstLine="560"/>
        <w:rPr/>
      </w:pPr>
      <w:r>
        <w:t>进一步地，所述S1中还包括：引入精化深度R≥1，对r=1,2,...,R迭代执行：</w:t>
        <w:br/>
        <w:t>m_ℓ^(r) = m_ℓ^(r-1) + CrossAttn^(read,ℓ,r)( m_ℓ^(r-1), M_c )，</w:t>
        <w:br/>
        <w:t>其中各CrossAttn^(read,ℓ,r)拥有独立的可学习参数。</w:t>
      </w:r>
    </w:p>
    <w:p>
      <w:pPr>
        <w:pStyle w:val="Normal"/>
        <w:ind w:firstLine="560"/>
        <w:rPr/>
      </w:pPr>
      <w:r>
        <w:rPr/>
        <w:t>进一步地，</w:t>
      </w:r>
      <w:r>
        <w:rPr/>
        <w:t>所述</w:t>
      </w:r>
      <w:r>
        <w:rPr/>
        <w:t>S2</w:t>
      </w:r>
      <w:r>
        <w:rPr/>
        <w:t>具体包括：</w:t>
      </w:r>
    </w:p>
    <w:p>
      <w:pPr>
        <w:pStyle w:val="Normal"/>
        <w:ind w:firstLine="560"/>
        <w:rPr/>
      </w:pPr>
      <w:r>
        <w:rPr/>
        <w:t>S21</w:t>
      </w:r>
      <w:r>
        <w:rPr/>
        <w:t>，</w:t>
      </w:r>
      <w:r>
        <w:rPr/>
        <w:t>配置一组可学习的改写查询矩阵</w:t>
      </w:r>
      <w:r>
        <w:rPr/>
        <w:t>M_in∈ℝ^(K×d)</w:t>
      </w:r>
      <w:r>
        <w:rPr/>
        <w:t>，其行数与</w:t>
      </w:r>
      <w:r>
        <w:rPr/>
        <w:t>M_c</w:t>
      </w:r>
      <w:r>
        <w:rPr/>
        <w:t>的槽位数</w:t>
      </w:r>
      <w:r>
        <w:rPr/>
        <w:t>K</w:t>
      </w:r>
      <w:r>
        <w:rPr/>
        <w:t>一致；</w:t>
      </w:r>
      <w:r>
        <w:rPr/>
        <w:t>M_in</w:t>
      </w:r>
      <w:r>
        <w:rPr/>
        <w:t>各行以正交初始化，并在前向传播时为每一行叠加槽位位置编码以打破置换对称性；</w:t>
      </w:r>
    </w:p>
    <w:p>
      <w:pPr>
        <w:pStyle w:val="Normal"/>
        <w:ind w:firstLine="560"/>
        <w:rPr/>
      </w:pPr>
      <w:r>
        <w:rPr/>
        <w:t>S22</w:t>
      </w:r>
      <w:r>
        <w:rPr/>
        <w:t>，</w:t>
      </w:r>
      <w:r>
        <w:rPr/>
        <w:t>将本次会话压缩为候选记忆矩阵</w:t>
      </w:r>
      <w:r>
        <w:rPr/>
        <w:t>具体为：</w:t>
      </w:r>
      <w:r>
        <w:rPr/>
        <w:br/>
        <w:t>E=Softmax(M_in·W_Q^(ext)·(C·W_K^(ext))^T/√d )· C· W_V^(ext)</w:t>
      </w:r>
      <w:r>
        <w:rPr/>
        <w:t>，</w:t>
      </w:r>
    </w:p>
    <w:p>
      <w:pPr>
        <w:pStyle w:val="Normal"/>
        <w:ind w:firstLine="560"/>
        <w:rPr/>
      </w:pPr>
      <w:r>
        <w:rPr/>
        <w:t>其中</w:t>
      </w:r>
      <w:r>
        <w:rPr/>
        <w:t>C∈ℝ^(N_c×d)</w:t>
      </w:r>
      <w:r>
        <w:rPr/>
        <w:t>为本次会话的</w:t>
      </w:r>
      <w:r>
        <w:rPr/>
        <w:t>token</w:t>
      </w:r>
      <w:r>
        <w:rPr/>
        <w:t>表征序列，</w:t>
      </w:r>
      <w:r>
        <w:rPr/>
        <w:t>W_Q^(ext)</w:t>
      </w:r>
      <w:r>
        <w:rPr/>
        <w:t>、</w:t>
      </w:r>
      <w:r>
        <w:rPr/>
        <w:t>W_K^(ext)</w:t>
      </w:r>
      <w:r>
        <w:rPr/>
        <w:t>、</w:t>
      </w:r>
      <w:r>
        <w:rPr/>
        <w:t>W_V^(ext)∈ℝ^(d×d)</w:t>
      </w:r>
      <w:r>
        <w:rPr/>
        <w:t>为可学习投影，</w:t>
      </w:r>
      <w:r>
        <w:rPr/>
        <w:t>E∈ℝ^(K×d)</w:t>
      </w:r>
      <w:r>
        <w:rPr/>
        <w:t>为压缩结果；</w:t>
      </w:r>
    </w:p>
    <w:p>
      <w:pPr>
        <w:pStyle w:val="Normal"/>
        <w:ind w:firstLine="560"/>
        <w:rPr/>
      </w:pPr>
      <w:r>
        <w:rPr/>
        <w:t>S23</w:t>
      </w:r>
      <w:r>
        <w:rPr/>
        <w:t>，</w:t>
      </w:r>
      <w:r>
        <w:rPr/>
        <w:t>将</w:t>
      </w:r>
      <w:r>
        <w:rPr/>
        <w:t>E</w:t>
      </w:r>
      <w:r>
        <w:rPr/>
        <w:t>作为</w:t>
      </w:r>
      <w:r>
        <w:rPr/>
        <w:t>M_new</w:t>
      </w:r>
      <w:r>
        <w:rPr/>
        <w:t>输出</w:t>
      </w:r>
      <w:r>
        <w:rPr/>
        <w:t>。</w:t>
      </w:r>
    </w:p>
    <w:p>
      <w:pPr>
        <w:pStyle w:val="Normal"/>
        <w:ind w:firstLine="560"/>
        <w:rPr/>
      </w:pPr>
      <w:r>
        <w:rPr/>
        <w:t>进一步地，</w:t>
      </w:r>
      <w:r>
        <w:rPr/>
        <w:t>所述</w:t>
      </w:r>
      <w:r>
        <w:rPr/>
        <w:t>S2</w:t>
      </w:r>
      <w:r>
        <w:rPr/>
        <w:t>还包括：</w:t>
      </w:r>
      <w:r>
        <w:rPr/>
        <w:t>引入提取深度</w:t>
      </w:r>
      <w:r>
        <w:rPr/>
        <w:t>L_E≥0</w:t>
      </w:r>
      <w:r>
        <w:rPr/>
        <w:t>，对ℓ</w:t>
      </w:r>
      <w:r>
        <w:rPr/>
        <w:t>=1,...,L_E</w:t>
      </w:r>
      <w:r>
        <w:rPr/>
        <w:t>迭代执行：</w:t>
      </w:r>
    </w:p>
    <w:p>
      <w:pPr>
        <w:pStyle w:val="Normal"/>
        <w:ind w:firstLine="560"/>
        <w:rPr/>
      </w:pPr>
      <w:r>
        <w:rPr/>
        <w:t>E^(0) = E</w:t>
      </w:r>
      <w:r>
        <w:rPr/>
        <w:t>，</w:t>
      </w:r>
    </w:p>
    <w:p>
      <w:pPr>
        <w:pStyle w:val="Normal"/>
        <w:ind w:firstLine="560"/>
        <w:rPr/>
      </w:pPr>
      <w:r>
        <w:rPr/>
        <w:t>E^(ℓ) = E^(ℓ-1) + CrossAttn^(ext,ℓ)( E^(ℓ-1), C )</w:t>
      </w:r>
      <w:r>
        <w:rPr/>
        <w:t>，</w:t>
      </w:r>
    </w:p>
    <w:p>
      <w:pPr>
        <w:pStyle w:val="Normal"/>
        <w:ind w:firstLine="560"/>
        <w:rPr/>
      </w:pPr>
      <w:r>
        <w:rPr/>
        <w:t>M_new := E^(L_E)</w:t>
      </w:r>
      <w:r>
        <w:rPr/>
        <w:t>，</w:t>
      </w:r>
    </w:p>
    <w:p>
      <w:pPr>
        <w:pStyle w:val="Normal"/>
        <w:ind w:firstLine="560"/>
        <w:rPr/>
      </w:pPr>
      <w:r>
        <w:rPr/>
        <w:t>其中各</w:t>
      </w:r>
      <w:r>
        <w:rPr/>
        <w:t>CrossAttn^(ext,ℓ)</w:t>
      </w:r>
      <w:r>
        <w:rPr/>
        <w:t>拥有独立的可学习参数。</w:t>
      </w:r>
    </w:p>
    <w:p>
      <w:pPr>
        <w:pStyle w:val="Normal"/>
        <w:ind w:firstLine="560"/>
        <w:rPr/>
      </w:pPr>
      <w:r>
        <w:rPr/>
        <w:t>进一步地，</w:t>
      </w:r>
      <w:r>
        <w:rPr/>
        <w:t>所述</w:t>
      </w:r>
      <w:r>
        <w:rPr/>
        <w:t>S3</w:t>
      </w:r>
      <w:r>
        <w:rPr/>
        <w:t>具体包括：</w:t>
      </w:r>
    </w:p>
    <w:p>
      <w:pPr>
        <w:pStyle w:val="Normal"/>
        <w:ind w:firstLine="560"/>
        <w:rPr/>
      </w:pPr>
      <w:r>
        <w:rPr/>
        <w:t>S31</w:t>
      </w:r>
      <w:r>
        <w:rPr/>
        <w:t>，</w:t>
      </w:r>
      <w:r>
        <w:rPr/>
        <w:t>将旧记忆与新候选沿槽位轴拼接：</w:t>
      </w:r>
      <w:r>
        <w:rPr/>
        <w:t>P=[M_c</w:t>
      </w:r>
      <w:r>
        <w:rPr/>
        <w:t>；</w:t>
      </w:r>
      <w:r>
        <w:rPr/>
        <w:t>M_new] ∈ ℝ^(2K×d)</w:t>
      </w:r>
      <w:r>
        <w:rPr/>
        <w:t>；</w:t>
      </w:r>
    </w:p>
    <w:p>
      <w:pPr>
        <w:pStyle w:val="Normal"/>
        <w:ind w:firstLine="560"/>
        <w:rPr/>
      </w:pPr>
      <w:r>
        <w:rPr/>
        <w:t>S32</w:t>
      </w:r>
      <w:r>
        <w:rPr/>
        <w:t>，</w:t>
      </w:r>
      <w:r>
        <w:rPr/>
        <w:t>配置一组可学习的判定查询矩阵</w:t>
      </w:r>
      <w:r>
        <w:rPr/>
        <w:t>M_judge∈ℝ^(K×d)</w:t>
      </w:r>
      <w:r>
        <w:rPr/>
        <w:t>，其行数与最终输出</w:t>
      </w:r>
      <w:r>
        <w:rPr/>
        <w:t>M_c'</w:t>
      </w:r>
      <w:r>
        <w:rPr/>
        <w:t>的槽位数</w:t>
      </w:r>
      <w:r>
        <w:rPr/>
        <w:t>K</w:t>
      </w:r>
      <w:r>
        <w:rPr/>
        <w:t>一致；</w:t>
      </w:r>
      <w:r>
        <w:rPr/>
        <w:t>M_judge</w:t>
      </w:r>
      <w:r>
        <w:rPr/>
        <w:t>以正交初始化并叠加槽位位置编码</w:t>
      </w:r>
      <w:r>
        <w:rPr/>
        <w:t>；</w:t>
      </w:r>
    </w:p>
    <w:p>
      <w:pPr>
        <w:pStyle w:val="Normal"/>
        <w:ind w:firstLine="560"/>
        <w:rPr/>
      </w:pPr>
      <w:r>
        <w:t>S33，以M_judge为初始槽位状态s^(0)，对i=1,...,T迭代执行下述竞争式更新，T为预设迭代次数：</w:t>
      </w:r>
    </w:p>
    <w:p>
      <w:pPr>
        <w:pStyle w:val="Normal"/>
        <w:ind w:firstLine="560"/>
        <w:rPr/>
      </w:pPr>
      <w:r>
        <w:t>Z_i = RMSNorm(s^(i-1))·W_Q^(judge)·(RMSNorm(P)·W_K^(judge))^T / √d；Â_i = norm_slot( Softmax_K(Z_i) )；u_i = Â_i·RMSNorm(P)·W_V^(judge)；s^(i) = GRU(u_i, s^(i-1))；M_c' = RMSNorm(s^(T))，</w:t>
        <w:br/>
        <w:t>其中W_Q^(judge)、W_K^(judge)、W_V^(judge)∈ℝ^(d×d)为可学习投影；Softmax_K表示沿K个记忆槽位方向的softmax归一化，使拼接矩阵P中2K个输入槽位（K个旧槽位与K个新候选槽位）中每一个的注意力质量在K个记忆槽位之间零和分配；norm_slot表示对每一记忆槽位行做加权平均归一化使其行和为1；GRU为权重跨槽位共享、隐状态逐槽位独立的门控循环单元，实现逐槽位的保留/写入门控。</w:t>
      </w:r>
    </w:p>
    <w:p>
      <w:pPr>
        <w:pStyle w:val="Normal"/>
        <w:ind w:firstLine="560"/>
        <w:rPr/>
      </w:pPr>
      <w:r>
        <w:rPr/>
        <w:t>进一步地，</w:t>
      </w:r>
      <w:r>
        <w:rPr/>
        <w:t>所述</w:t>
      </w:r>
      <w:r>
        <w:rPr/>
        <w:t>S3</w:t>
      </w:r>
      <w:r>
        <w:rPr/>
        <w:t>中还包括：</w:t>
      </w:r>
      <w:r>
        <w:rPr/>
        <w:t>在执行</w:t>
      </w:r>
      <w:r>
        <w:rPr/>
        <w:t>Softmax</w:t>
      </w:r>
      <w:r>
        <w:rPr/>
        <w:t>归一化</w:t>
      </w:r>
      <w:r>
        <w:rPr/>
        <w:t>前，对每一输入列在</w:t>
      </w:r>
      <w:r>
        <w:rPr/>
        <w:t>K</w:t>
      </w:r>
      <w:r>
        <w:rPr/>
        <w:t>个输出槽中仅保留得分最高的</w:t>
      </w:r>
      <w:r>
        <w:rPr/>
        <w:t>k</w:t>
      </w:r>
      <w:r>
        <w:rPr/>
        <w:t>个，将其余位置的</w:t>
      </w:r>
      <w:r>
        <w:rPr/>
        <w:t>logits</w:t>
      </w:r>
      <w:r>
        <w:rPr/>
        <w:t>置为</w:t>
      </w:r>
      <w:r>
        <w:rPr/>
        <w:t>-∞</w:t>
      </w:r>
      <w:r>
        <w:rPr/>
        <w:t>，再做</w:t>
      </w:r>
      <w:r>
        <w:rPr/>
        <w:t>Softmax</w:t>
      </w:r>
      <w:r>
        <w:rPr/>
        <w:t>；其中</w:t>
      </w:r>
      <w:r>
        <w:rPr/>
        <w:t>k</w:t>
      </w:r>
      <w:r>
        <w:rPr/>
        <w:t>为预设的小整数</w:t>
      </w:r>
      <w:r>
        <w:rPr/>
        <w:t>；</w:t>
      </w:r>
    </w:p>
    <w:p>
      <w:pPr>
        <w:pStyle w:val="Normal"/>
        <w:ind w:firstLine="560"/>
        <w:rPr/>
      </w:pPr>
      <w:r>
        <w:t>执行Softmax归一化后，追加一个可学习的逐槽位门控向量g∈[0,1]^(K×1)，按下式进行门控融合：M_c' := (1-g) ⊙ M_c + g ⊙ M_judged，其中M_judged表示S33迭代结束后的输出。</w:t>
      </w:r>
    </w:p>
    <w:p>
      <w:pPr>
        <w:pStyle w:val="Normal"/>
        <w:numPr>
          <w:ilvl w:val="0"/>
          <w:numId w:val="0"/>
        </w:numPr>
        <w:ind w:firstLine="560"/>
        <w:outlineLvl w:val="0"/>
        <w:rPr/>
      </w:pPr>
      <w:r>
        <w:rPr/>
        <w:t>进一步地，</w:t>
      </w:r>
      <w:r>
        <w:rPr/>
        <w:t>所述被注入层索引集合</w:t>
      </w:r>
      <w:r>
        <w:rPr/>
        <w:t>为</w:t>
      </w:r>
      <w:r>
        <w:rPr/>
        <w:t>所有层均注入</w:t>
      </w:r>
      <w:r>
        <w:rPr/>
        <w:t>、</w:t>
      </w:r>
      <w:r>
        <w:rPr/>
        <w:t>仅指定的若干层注入</w:t>
      </w:r>
      <w:r>
        <w:rPr/>
        <w:t>和</w:t>
      </w:r>
      <w:r>
        <w:rPr/>
        <w:t>按可学习的层选择门动态决定注入层</w:t>
      </w:r>
      <w:r>
        <w:rPr/>
        <w:t>中的任意一种</w:t>
      </w:r>
      <w:r>
        <w:rPr>
          <w:szCs w:val="32"/>
        </w:rPr>
        <w:t>。</w:t>
      </w:r>
    </w:p>
    <w:p>
      <w:r>
        <w:t>进一步地，所述S3中的竞争式归一化注意力更新既可采用迭代式槽位竞争实现（以判定查询为初始槽位状态，迭代执行沿K个记忆槽位方向零和归一化的注意力读取与逐槽位门控状态更新），亦可采用单轮判定实现（以判定查询对拼接矩阵做一次沿2K个输入方向归一化的softmax注意力读取）；两种实现均使旧槽位内容与新候选内容构成零和竞争，均属于本发明的实施方式。</w:t>
      </w:r>
    </w:p>
    <w:p>
      <w:r>
        <w:t>进一步地，所述方法引入的可学习参数在语言模型本体参数冻结的条件下以端到端语言建模损失训练获得，且训练目标中还包括一个深度路由记忆占比下限辅助损失，用于防止深度路由在训练早期将记忆源权重坍缩至零、保证阶段二与阶段三的参数获得持续的下游梯度；该辅助损失仅在训练阶段生效，不改变推理阶段的任何计算。</w:t>
      </w:r>
    </w:p>
    <w:p>
      <w:r>
        <w:t>相应地，本发明还提供：一种语言模型外置记忆装置，包括记忆维护模块、记忆-注意力注入模块、自动改写模块与两阶段竞争模块，分别用于维护所述记忆矩阵及执行上述S1、S2、S3；一种电子设备，包括处理器与存储器，存储器中的计算机程序被处理器执行时实现上述方法；以及一种计算机可读存储介质，其上的计算机程序被处理器执行时实现上述方法。</w:t>
      </w:r>
    </w:p>
    <w:p>
      <w:pPr>
        <w:pStyle w:val="Normal"/>
        <w:ind w:firstLine="560"/>
        <w:rPr/>
      </w:pPr>
      <w:r>
        <w:rPr/>
        <w:t>基于上述技术方案，本发明专利一种基于注意力读出与竞争式更新的语言模型外置记忆方法经过实践应用取得了如下技术效果：</w:t>
      </w:r>
    </w:p>
    <w:p>
      <w:pPr>
        <w:pStyle w:val="Normal"/>
        <w:ind w:firstLine="560"/>
        <w:rPr/>
      </w:pPr>
      <w:r>
        <w:rPr/>
        <w:t>1.</w:t>
      </w:r>
      <w:r>
        <w:rPr/>
        <w:t>与“扩展上下文窗口”方案相比，本发明的注入方式使每次推理只需访问大小恒定的</w:t>
      </w:r>
      <w:r>
        <w:rPr/>
        <w:t>M_c</w:t>
      </w:r>
      <w:r>
        <w:rPr/>
        <w:t>，单</w:t>
      </w:r>
      <w:r>
        <w:rPr/>
        <w:t>token</w:t>
      </w:r>
      <w:r>
        <w:rPr/>
        <w:t>推理算力与会话历史长度无关，不存在二次方爆炸，相同硬件条件下可支持任意长会话。</w:t>
      </w:r>
    </w:p>
    <w:p>
      <w:pPr>
        <w:pStyle w:val="Normal"/>
        <w:ind w:firstLine="560"/>
        <w:rPr/>
      </w:pPr>
      <w:r>
        <w:rPr/>
        <w:t>2.</w:t>
      </w:r>
      <w:r>
        <w:rPr/>
        <w:t>与“检索增强生成”方案相比，本发明的改写与竞争完全在模型前向通路内由可学习参数完成，无需嵌入模型、向量库、检索管线、重排序模型；可学习查询使“什么应被记忆”由端到端任务损失自动学得，而非由人工启发式决定；竞争机制使“什么应被覆盖”亦由方法自身判定。</w:t>
      </w:r>
    </w:p>
    <w:p>
      <w:pPr>
        <w:pStyle w:val="Normal"/>
        <w:ind w:firstLine="560"/>
        <w:rPr/>
      </w:pPr>
      <w:r>
        <w:rPr/>
        <w:t>3.</w:t>
      </w:r>
      <w:r>
        <w:rPr/>
        <w:t>与“用户级微调”方案相比，本发明的方法均不修改语言模型本体参数，仅维护可在用户间共享的方法侧投影参数以及每用户极小的私有</w:t>
      </w:r>
      <w:r>
        <w:rPr/>
        <w:t>M_c</w:t>
      </w:r>
      <w:r>
        <w:rPr/>
        <w:t>（典型为数百</w:t>
      </w:r>
      <w:r>
        <w:rPr/>
        <w:t>KB</w:t>
      </w:r>
      <w:r>
        <w:rPr/>
        <w:t>到数</w:t>
      </w:r>
      <w:r>
        <w:rPr/>
        <w:t>MB</w:t>
      </w:r>
      <w:r>
        <w:rPr/>
        <w:t>级别）；不存在灾难性遗忘问题，可便捷地进行端侧部署。</w:t>
      </w:r>
    </w:p>
    <w:p>
      <w:pPr>
        <w:pStyle w:val="Normal"/>
        <w:rPr>
          <w:b/>
          <w:b/>
          <w:bCs/>
        </w:rPr>
      </w:pPr>
      <w:r>
        <w:rPr>
          <w:b/>
          <w:bCs/>
        </w:rPr>
        <w:t>附图说明</w:t>
      </w:r>
    </w:p>
    <w:p>
      <w:pPr>
        <w:pStyle w:val="Normal"/>
        <w:ind w:firstLine="560"/>
        <w:rPr/>
      </w:pPr>
      <w:r>
        <w:rPr/>
        <w:t>图</w:t>
      </w:r>
      <w:r>
        <w:rPr/>
        <w:t>1</w:t>
      </w:r>
      <w:r>
        <w:rPr/>
        <w:t>为本发明一种基于注意力读出与竞争式更新的语言模型外置记忆方法中的总体流程示意图。</w:t>
      </w:r>
    </w:p>
    <w:p>
      <w:r>
        <w:t>图2为本发明实验一中推理开销随历史长度变化的对比示意图。</w:t>
      </w:r>
    </w:p>
    <w:p>
      <w:r>
        <w:t>图3为本发明实验二中与检索增强生成方案的记忆召回质量对比示意图。</w:t>
      </w:r>
    </w:p>
    <w:p>
      <w:r>
        <w:t>图4为本发明实验三中抗遗忘能力对比示意图。</w:t>
      </w:r>
    </w:p>
    <w:p>
      <w:r>
        <w:t>图5为本发明实验四中消融实验结果示意图。</w:t>
      </w:r>
    </w:p>
    <w:p>
      <w:r>
        <w:t>图6为本发明实验五中记忆容量K扫描结果示意图。</w:t>
      </w:r>
    </w:p>
    <w:p>
      <w:r>
        <w:t>图7为本发明实验六中阶段三更新结构对比示意图。</w:t>
      </w:r>
    </w:p>
    <w:p>
      <w:pPr>
        <w:pStyle w:val="Normal"/>
        <w:rPr/>
      </w:pPr>
      <w:r>
        <w:rPr>
          <w:b/>
          <w:bCs/>
        </w:rPr>
        <w:t>具体实施方式</w:t>
      </w:r>
    </w:p>
    <w:p>
      <w:pPr>
        <w:pStyle w:val="Normal"/>
        <w:ind w:firstLine="560"/>
        <w:rPr/>
      </w:pPr>
      <w:r>
        <w:rPr/>
        <w:t>为使</w:t>
      </w:r>
      <w:r>
        <w:rPr>
          <w:bCs/>
        </w:rPr>
        <w:t>本发明</w:t>
      </w:r>
      <w:r>
        <w:rPr/>
        <w:t>的目的、技术方案和效果更加清楚明了，下面通过具体实例来描述本发明。但是应该理解，这些描述只是示例性的，而并非要限制</w:t>
      </w:r>
      <w:r>
        <w:rPr>
          <w:bCs/>
        </w:rPr>
        <w:t>本发明</w:t>
      </w:r>
      <w:r>
        <w:rPr/>
        <w:t>的范围。此外，在以下说明中，省略了对公知结构和技术的描述，以避免不必要地混淆本</w:t>
      </w:r>
      <w:r>
        <w:rPr>
          <w:bCs/>
        </w:rPr>
        <w:t>发明</w:t>
      </w:r>
      <w:r>
        <w:rPr/>
        <w:t>的概念。</w:t>
      </w:r>
    </w:p>
    <w:p>
      <w:pPr>
        <w:pStyle w:val="Normal"/>
        <w:ind w:firstLine="560"/>
        <w:rPr/>
      </w:pPr>
      <w:r>
        <w:rPr/>
        <w:t>实施例</w:t>
      </w:r>
      <w:r>
        <w:rPr/>
        <w:t>1</w:t>
      </w:r>
      <w:r>
        <w:rPr/>
        <w:t>，如图</w:t>
      </w:r>
      <w:r>
        <w:rPr/>
        <w:t>1</w:t>
      </w:r>
      <w:r>
        <w:rPr/>
        <w:t>所示，</w:t>
      </w:r>
      <w:r>
        <w:rPr/>
        <w:t>一种基于注意力读出与竞争式更新的语言模型外置记忆方法，该方法在语言模型的常规前向推理流程之外，额外配置一个尺寸为</w:t>
      </w:r>
      <w:r>
        <w:rPr/>
        <w:t>K×d</w:t>
      </w:r>
      <w:r>
        <w:rPr/>
        <w:t>的固定容量循环记忆矩阵，记为</w:t>
      </w:r>
      <w:r>
        <w:rPr/>
        <w:t>M_c</w:t>
      </w:r>
      <w:r>
        <w:rPr/>
        <w:t>，其中</w:t>
      </w:r>
      <w:r>
        <w:rPr/>
        <w:t>K</w:t>
      </w:r>
      <w:r>
        <w:rPr/>
        <w:t>为槽位数（典型取值为</w:t>
      </w:r>
      <w:r>
        <w:rPr/>
        <w:t>16</w:t>
      </w:r>
      <w:r>
        <w:rPr/>
        <w:t>、</w:t>
      </w:r>
      <w:r>
        <w:rPr/>
        <w:t>32</w:t>
      </w:r>
      <w:r>
        <w:rPr/>
        <w:t>、</w:t>
      </w:r>
      <w:r>
        <w:rPr/>
        <w:t>64</w:t>
      </w:r>
      <w:r>
        <w:rPr/>
        <w:t>、</w:t>
      </w:r>
      <w:r>
        <w:rPr/>
        <w:t>128</w:t>
      </w:r>
      <w:r>
        <w:rPr/>
        <w:t>、</w:t>
      </w:r>
      <w:r>
        <w:rPr/>
        <w:t>256</w:t>
      </w:r>
      <w:r>
        <w:rPr/>
        <w:t>、</w:t>
      </w:r>
      <w:r>
        <w:rPr/>
        <w:t>512</w:t>
      </w:r>
      <w:r>
        <w:rPr/>
        <w:t>、</w:t>
      </w:r>
      <w:r>
        <w:rPr/>
        <w:t>1024</w:t>
      </w:r>
      <w:r>
        <w:rPr/>
        <w:t>等固定整数），</w:t>
      </w:r>
      <w:r>
        <w:rPr/>
        <w:t>d</w:t>
      </w:r>
      <w:r>
        <w:rPr/>
        <w:t>与语言模型的隐层维度一致；每一会话上下文独立绑定一份私有的</w:t>
      </w:r>
      <w:r>
        <w:rPr/>
        <w:t>M_c</w:t>
      </w:r>
      <w:r>
        <w:rPr/>
        <w:t>。</w:t>
      </w:r>
    </w:p>
    <w:p>
      <w:r>
        <w:t>需要说明的是，本发明所称“会话”按功能定义：指对话历史或输入token流中被划定为一次记忆写入单位的任意连续token片段。会话边界可按对话回合、固定token窗口（如每512个token）、时间间隔、话题或语义分段等任意方式划定，边界划定方式与切分粒度的改变不影响本方法的实施与效果；任何以连续片段为单位、周期性地将历史信息经可学习压缩写入固定容量记忆矩阵并以竞争方式更新的实现，无论其对历史的具体切分方式如何，均属于本发明所称按“会话”处理的范围。</w:t>
      </w:r>
    </w:p>
    <w:p>
      <w:pPr>
        <w:pStyle w:val="Normal"/>
        <w:ind w:firstLine="560"/>
        <w:rPr/>
      </w:pPr>
      <w:r>
        <w:rPr/>
        <w:t>本方法在工作时通过相互配合的以下三个阶段对所述记忆矩阵进行使用与维护：</w:t>
      </w:r>
    </w:p>
    <w:p>
      <w:pPr>
        <w:pStyle w:val="Normal"/>
        <w:ind w:firstLine="560"/>
        <w:rPr/>
      </w:pPr>
      <w:r>
        <w:rPr/>
        <w:t>阶段一：记忆</w:t>
      </w:r>
      <w:r>
        <w:rPr/>
        <w:t>-</w:t>
      </w:r>
      <w:r>
        <w:rPr/>
        <w:t>注意力注入</w:t>
      </w:r>
      <w:r>
        <w:rPr/>
        <w:t>；</w:t>
      </w:r>
    </w:p>
    <w:p>
      <w:pPr>
        <w:pStyle w:val="Normal"/>
        <w:ind w:firstLine="560"/>
        <w:rPr/>
      </w:pPr>
      <w:r>
        <w:rPr/>
        <w:t>在每一次推理会话内，对于语言模型的若干指定层，独立地、以本层的输入隐状态作为查询，从</w:t>
      </w:r>
      <w:r>
        <w:rPr/>
        <w:t>M_c</w:t>
      </w:r>
      <w:r>
        <w:rPr/>
        <w:t>中以跨层注意力方式读出一个与当前</w:t>
      </w:r>
      <w:r>
        <w:rPr/>
        <w:t>token</w:t>
      </w:r>
      <w:r>
        <w:rPr/>
        <w:t>位置一一对应的记忆读出量</w:t>
      </w:r>
      <w:r>
        <w:rPr/>
        <w:t>m</w:t>
      </w:r>
      <w:r>
        <w:rPr/>
        <w:t>，并将</w:t>
      </w:r>
      <w:r>
        <w:rPr/>
        <w:t>m</w:t>
      </w:r>
      <w:r>
        <w:rPr/>
        <w:t>通过深度路由机制注入该层的残差流。</w:t>
      </w:r>
    </w:p>
    <w:p>
      <w:pPr>
        <w:pStyle w:val="Normal"/>
        <w:ind w:firstLine="560"/>
        <w:rPr/>
      </w:pPr>
      <w:r>
        <w:rPr/>
        <w:t>具体地，记语言模型的解码器层数为</w:t>
      </w:r>
      <w:r>
        <w:rPr/>
        <w:t>L</w:t>
      </w:r>
      <w:r>
        <w:rPr/>
        <w:t>。设置一个或多个被注入层的索引集合ℓ∈</w:t>
      </w:r>
      <w:r>
        <w:rPr/>
        <w:t>{ℓ₁,ℓ₂,...,ℓ_m}⊆{1,2,...,L}</w:t>
      </w:r>
      <w:r>
        <w:rPr/>
        <w:t>。在被注入层ℓ处，本方法执行如下子步骤：</w:t>
      </w:r>
    </w:p>
    <w:p>
      <w:pPr>
        <w:pStyle w:val="Normal"/>
        <w:ind w:firstLine="560"/>
        <w:rPr/>
      </w:pPr>
      <w:r>
        <w:rPr/>
        <w:t>子步骤</w:t>
      </w:r>
      <w:r>
        <w:rPr/>
        <w:t>A1</w:t>
      </w:r>
      <w:r>
        <w:rPr/>
        <w:t>：为每一被注入层ℓ配置该层独有的可学习投影矩阵</w:t>
      </w:r>
      <w:r>
        <w:rPr/>
        <w:t>W_Q^(read,ℓ)</w:t>
      </w:r>
      <w:r>
        <w:rPr/>
        <w:t>、</w:t>
      </w:r>
      <w:r>
        <w:rPr/>
        <w:t>W_K^(read,ℓ)</w:t>
      </w:r>
      <w:r>
        <w:rPr/>
        <w:t>、</w:t>
      </w:r>
      <w:r>
        <w:rPr/>
        <w:t>W_V^(read,ℓ)∈ℝ^(d×d)</w:t>
      </w:r>
      <w:r>
        <w:rPr/>
        <w:t>。设该层在当前推理位置的输入隐状态序列为</w:t>
      </w:r>
      <w:r>
        <w:rPr/>
        <w:t>X_ℓ∈ℝ^(N×d)</w:t>
      </w:r>
      <w:r>
        <w:rPr/>
        <w:t>，其中</w:t>
      </w:r>
      <w:r>
        <w:rPr/>
        <w:t>N</w:t>
      </w:r>
      <w:r>
        <w:rPr/>
        <w:t>为当前序列长度。</w:t>
      </w:r>
    </w:p>
    <w:p>
      <w:pPr>
        <w:pStyle w:val="Normal"/>
        <w:ind w:firstLine="560"/>
        <w:rPr/>
      </w:pPr>
      <w:r>
        <w:rPr/>
        <w:t>子步骤</w:t>
      </w:r>
      <w:r>
        <w:rPr/>
        <w:t>A2</w:t>
      </w:r>
      <w:r>
        <w:rPr/>
        <w:t>：按下式从</w:t>
      </w:r>
      <w:r>
        <w:rPr/>
        <w:t>M_c</w:t>
      </w:r>
      <w:r>
        <w:rPr/>
        <w:t>中获得当前层、当前位置的记忆读出量：</w:t>
      </w:r>
      <w:r>
        <w:rPr/>
        <w:br/>
        <w:t>m_ℓ=Softmax(X_ℓ·W_Q^(read,ℓ)·(M_c·W_K^(read,ℓ))^T/√d)·M_c·W_V^(read,ℓ)</w:t>
        <w:br/>
      </w:r>
      <w:r>
        <w:rPr/>
        <w:t>其中</w:t>
      </w:r>
      <w:r>
        <w:rPr/>
        <w:t>m_ℓ∈ℝ^(N×d)</w:t>
      </w:r>
      <w:r>
        <w:rPr/>
        <w:t>。</w:t>
      </w:r>
      <w:r>
        <w:rPr/>
        <w:t>Softmax</w:t>
      </w:r>
      <w:r>
        <w:rPr/>
        <w:t>沿</w:t>
      </w:r>
      <w:r>
        <w:rPr/>
        <w:t>K</w:t>
      </w:r>
      <w:r>
        <w:rPr/>
        <w:t>维度（槽位轴）归一化，使每一个查询位置在</w:t>
      </w:r>
      <w:r>
        <w:rPr/>
        <w:t>K</w:t>
      </w:r>
      <w:r>
        <w:rPr/>
        <w:t>个记忆槽上得到一个概率分布。</w:t>
      </w:r>
    </w:p>
    <w:p>
      <w:pPr>
        <w:pStyle w:val="Normal"/>
        <w:ind w:firstLine="560"/>
        <w:rPr/>
      </w:pPr>
      <w:r>
        <w:t>子步骤A3：为提升读出质量，引入精化深度R≥1（本实施方式取R=4）；对r=1,2,...,R迭代执行：</w:t>
        <w:br/>
        <w:t>m_ℓ^(r)=m_ℓ^(r-1)+CrossAttn^(read,ℓ,r)(m_ℓ^(r-1),M_c)</w:t>
        <w:br/>
        <w:t>其中各CrossAttn^(read,ℓ,r)拥有独立的可学习参数。实验四的从零训练消融表明，去掉该迭代精化（R=0）时长程记忆增益几乎完全消失，故本发明将至少一次精化（R≥1）作为必要技术特征。</w:t>
      </w:r>
    </w:p>
    <w:p>
      <w:pPr>
        <w:pStyle w:val="Normal"/>
        <w:ind w:firstLine="560"/>
        <w:rPr/>
      </w:pPr>
      <w:r>
        <w:rPr/>
        <w:t>子步骤</w:t>
      </w:r>
      <w:r>
        <w:rPr/>
        <w:t>A4</w:t>
      </w:r>
      <w:r>
        <w:rPr/>
        <w:t>：将得到的</w:t>
      </w:r>
      <w:r>
        <w:rPr/>
        <w:t>m_ℓ</w:t>
      </w:r>
      <w:r>
        <w:rPr/>
        <w:t>作为该层的“基础源”加入残差流的可选源池中。设该层在沿深度方向已积累的可路由源池为</w:t>
      </w:r>
      <w:r>
        <w:rPr/>
        <w:t>V_ℓ=[b_{-1},b_0,b_1,...,b_{ℓ-1}]</w:t>
      </w:r>
      <w:r>
        <w:rPr/>
        <w:t>，其中</w:t>
      </w:r>
      <w:r>
        <w:rPr/>
        <w:t>b_{-1}:=m_ℓ</w:t>
      </w:r>
      <w:r>
        <w:rPr/>
        <w:t>表示由本方法注入的记忆源，</w:t>
      </w:r>
      <w:r>
        <w:rPr/>
        <w:t>b_0</w:t>
      </w:r>
      <w:r>
        <w:rPr/>
        <w:t>表示嵌入层输出，</w:t>
      </w:r>
      <w:r>
        <w:rPr/>
        <w:t>b_1...b_{ℓ-1}</w:t>
      </w:r>
      <w:r>
        <w:rPr/>
        <w:t>表示来自此前各解码块的中间残差源。本方法以可学习的伪查询</w:t>
      </w:r>
      <w:r>
        <w:rPr/>
        <w:t>w_ℓ</w:t>
      </w:r>
      <w:r>
        <w:rPr/>
        <w:t>对</w:t>
      </w:r>
      <w:r>
        <w:rPr/>
        <w:t>V_ℓ</w:t>
      </w:r>
      <w:r>
        <w:rPr/>
        <w:t>中的各源做</w:t>
      </w:r>
      <w:r>
        <w:rPr/>
        <w:t>softmax</w:t>
      </w:r>
      <w:r>
        <w:rPr/>
        <w:t>加权：</w:t>
      </w:r>
      <w:r>
        <w:rPr/>
        <w:br/>
        <w:t>α_{v→ℓ}=exp(w_ℓ·RMSNorm(v))/Σ_{v'∈V_ℓ}exp(w_ℓ·RMSNorm(v'))</w:t>
        <w:br/>
        <w:t>h_ℓ=Σ_{v∈V_ℓ}α_{v→ℓ}·v</w:t>
        <w:br/>
      </w:r>
      <w:r>
        <w:rPr/>
        <w:t>并以</w:t>
      </w:r>
      <w:r>
        <w:rPr/>
        <w:t>h_ℓ</w:t>
      </w:r>
      <w:r>
        <w:rPr/>
        <w:t>作为该层后续子层的实际输入。</w:t>
      </w:r>
    </w:p>
    <w:p>
      <w:pPr>
        <w:pStyle w:val="Normal"/>
        <w:ind w:firstLine="560"/>
        <w:rPr/>
      </w:pPr>
      <w:r>
        <w:rPr/>
        <w:t>阶段二：自动改写（亦称“提取”）。</w:t>
      </w:r>
    </w:p>
    <w:p>
      <w:pPr>
        <w:pStyle w:val="Normal"/>
        <w:ind w:firstLine="560"/>
        <w:rPr/>
      </w:pPr>
      <w:r>
        <w:rPr/>
        <w:t>在一次会话结束之后、下一次会话开始之前，本方法以一组可学习的改写查询作用于刚结束的本次会话的</w:t>
      </w:r>
      <w:r>
        <w:rPr/>
        <w:t>token</w:t>
      </w:r>
      <w:r>
        <w:rPr/>
        <w:t>表征序列，通过跨层注意力将该会话所含信息自动压缩为一个与</w:t>
      </w:r>
      <w:r>
        <w:rPr/>
        <w:t>M_c</w:t>
      </w:r>
      <w:r>
        <w:rPr/>
        <w:t>形状一致的候选记忆矩阵</w:t>
      </w:r>
      <w:r>
        <w:rPr/>
        <w:t>M_new</w:t>
      </w:r>
      <w:r>
        <w:rPr/>
        <w:t>。</w:t>
      </w:r>
    </w:p>
    <w:p>
      <w:pPr>
        <w:pStyle w:val="Normal"/>
        <w:ind w:firstLine="560"/>
        <w:rPr/>
      </w:pPr>
      <w:r>
        <w:rPr/>
        <w:t>具体地，设刚结束的会话经语言模型嵌入层（或某一指定中间层）得到</w:t>
      </w:r>
      <w:r>
        <w:rPr/>
        <w:t>token</w:t>
      </w:r>
      <w:r>
        <w:rPr/>
        <w:t>表征序列</w:t>
      </w:r>
      <w:r>
        <w:rPr/>
        <w:t>C∈ℝ^(N_c×d)</w:t>
      </w:r>
      <w:r>
        <w:rPr/>
        <w:t>，</w:t>
      </w:r>
      <w:r>
        <w:rPr/>
        <w:t>N_c</w:t>
      </w:r>
      <w:r>
        <w:rPr/>
        <w:t>为该会话的</w:t>
      </w:r>
      <w:r>
        <w:rPr/>
        <w:t>token</w:t>
      </w:r>
      <w:r>
        <w:rPr/>
        <w:t>数。</w:t>
      </w:r>
    </w:p>
    <w:p>
      <w:pPr>
        <w:pStyle w:val="Normal"/>
        <w:ind w:firstLine="560"/>
        <w:rPr/>
      </w:pPr>
      <w:r>
        <w:rPr/>
        <w:t>子步骤</w:t>
      </w:r>
      <w:r>
        <w:rPr/>
        <w:t>B1</w:t>
      </w:r>
      <w:r>
        <w:rPr/>
        <w:t>：配置一组可学习的改写查询矩阵</w:t>
      </w:r>
      <w:r>
        <w:rPr/>
        <w:t>M_in∈ℝ^(K×d)</w:t>
      </w:r>
      <w:r>
        <w:rPr/>
        <w:t>，其行数与</w:t>
      </w:r>
      <w:r>
        <w:rPr/>
        <w:t>M_c</w:t>
      </w:r>
      <w:r>
        <w:rPr/>
        <w:t>的槽位数</w:t>
      </w:r>
      <w:r>
        <w:rPr/>
        <w:t>K</w:t>
      </w:r>
      <w:r>
        <w:rPr/>
        <w:t>一致。在初始化时，使</w:t>
      </w:r>
      <w:r>
        <w:rPr/>
        <w:t>M_in</w:t>
      </w:r>
      <w:r>
        <w:rPr/>
        <w:t>各行近似两两正交（例如以正交初始化获得）；并在前向传播时，为</w:t>
      </w:r>
      <w:r>
        <w:rPr/>
        <w:t>M_in</w:t>
      </w:r>
      <w:r>
        <w:rPr/>
        <w:t>的每一行加上一个槽位相关的位置编码（例如正弦</w:t>
      </w:r>
      <w:r>
        <w:rPr/>
        <w:t>Fourier</w:t>
      </w:r>
      <w:r>
        <w:rPr/>
        <w:t>型编码），以打破</w:t>
      </w:r>
      <w:r>
        <w:rPr/>
        <w:t>softmax</w:t>
      </w:r>
      <w:r>
        <w:rPr/>
        <w:t>的置换对称性。</w:t>
      </w:r>
    </w:p>
    <w:p>
      <w:pPr>
        <w:pStyle w:val="Normal"/>
        <w:ind w:firstLine="560"/>
        <w:rPr/>
      </w:pPr>
      <w:r>
        <w:rPr/>
        <w:t>子步骤</w:t>
      </w:r>
      <w:r>
        <w:rPr/>
        <w:t>B2</w:t>
      </w:r>
      <w:r>
        <w:rPr/>
        <w:t>：按下式将本次会话压缩为候选记忆矩阵：</w:t>
      </w:r>
      <w:r>
        <w:rPr/>
        <w:br/>
        <w:t>E=Softmax(M_in·W_Q^(ext)·(C·W_K^(ext))^T/√d)·C·W_V^(ext)</w:t>
        <w:br/>
      </w:r>
      <w:r>
        <w:rPr/>
        <w:t>其中</w:t>
      </w:r>
      <w:r>
        <w:rPr/>
        <w:t>W_Q^(ext)</w:t>
      </w:r>
      <w:r>
        <w:rPr/>
        <w:t>、</w:t>
      </w:r>
      <w:r>
        <w:rPr/>
        <w:t>W_K^(ext)</w:t>
      </w:r>
      <w:r>
        <w:rPr/>
        <w:t>、</w:t>
      </w:r>
      <w:r>
        <w:rPr/>
        <w:t>W_V^(ext)∈ℝ^(d×d)</w:t>
      </w:r>
      <w:r>
        <w:rPr/>
        <w:t>为可学习投影。</w:t>
      </w:r>
      <w:r>
        <w:rPr/>
        <w:t>E∈ℝ^(K×d)</w:t>
      </w:r>
      <w:r>
        <w:rPr/>
        <w:t>即为压缩结果。</w:t>
      </w:r>
    </w:p>
    <w:p>
      <w:pPr>
        <w:pStyle w:val="Normal"/>
        <w:ind w:firstLine="560"/>
        <w:rPr/>
      </w:pPr>
      <w:r>
        <w:rPr/>
        <w:t>子步骤</w:t>
      </w:r>
      <w:r>
        <w:rPr/>
        <w:t>B3</w:t>
      </w:r>
      <w:r>
        <w:rPr/>
        <w:t>（可选）：引入提取深度</w:t>
      </w:r>
      <w:r>
        <w:rPr/>
        <w:t>L_E≥0</w:t>
      </w:r>
      <w:r>
        <w:rPr/>
        <w:t>；对ℓ</w:t>
      </w:r>
      <w:r>
        <w:rPr/>
        <w:t>=1,...,L_E</w:t>
      </w:r>
      <w:r>
        <w:rPr/>
        <w:t>进行迭代精化：</w:t>
      </w:r>
      <w:r>
        <w:rPr/>
        <w:br/>
        <w:t>E^(0)=E</w:t>
        <w:br/>
        <w:t>E^(ℓ)=E^(ℓ-1)+CrossAttn^(ext,ℓ)(E^(ℓ-1),C)</w:t>
        <w:br/>
        <w:t>M_new:=E^(L_E)</w:t>
        <w:br/>
      </w:r>
      <w:r>
        <w:rPr/>
        <w:t>其中各</w:t>
      </w:r>
      <w:r>
        <w:rPr/>
        <w:t>CrossAttn^(ext,ℓ)</w:t>
      </w:r>
      <w:r>
        <w:rPr/>
        <w:t>拥有独立的可学习参数。</w:t>
      </w:r>
    </w:p>
    <w:p>
      <w:pPr>
        <w:pStyle w:val="Normal"/>
        <w:ind w:firstLine="560"/>
        <w:rPr/>
      </w:pPr>
      <w:r>
        <w:rPr/>
        <w:t>子步骤</w:t>
      </w:r>
      <w:r>
        <w:rPr/>
        <w:t>B4</w:t>
      </w:r>
      <w:r>
        <w:rPr/>
        <w:t>（可选）：当</w:t>
      </w:r>
      <w:r>
        <w:rPr/>
        <w:t>C</w:t>
      </w:r>
      <w:r>
        <w:rPr/>
        <w:t>来源于语言模型某中间层的隐状态时，对</w:t>
      </w:r>
      <w:r>
        <w:rPr/>
        <w:t>C</w:t>
      </w:r>
      <w:r>
        <w:rPr/>
        <w:t>在送入提取栈之前做</w:t>
      </w:r>
      <w:r>
        <w:rPr/>
        <w:t>RMSNorm</w:t>
      </w:r>
      <w:r>
        <w:rPr/>
        <w:t>归一化，以避免不同层的隐状态量级差异破坏注意力的数值稳定性。</w:t>
      </w:r>
    </w:p>
    <w:p>
      <w:pPr>
        <w:pStyle w:val="Normal"/>
        <w:ind w:firstLine="560"/>
        <w:rPr/>
      </w:pPr>
      <w:r>
        <w:rPr/>
        <w:t>阶段三：两阶段竞争。</w:t>
      </w:r>
    </w:p>
    <w:p>
      <w:pPr>
        <w:pStyle w:val="Normal"/>
        <w:ind w:firstLine="560"/>
        <w:rPr/>
      </w:pPr>
      <w:r>
        <w:t>本方法将旧记忆矩阵M_c与候选矩阵M_new沿槽位轴拼接为长度为2K的拼接矩阵，并以一组可学习的判定查询作为初始槽位状态，对拼接矩阵迭代执行沿槽位方向的竞争式归一化注意力读取与逐槽位门控状态更新，使旧槽位内容与新候选内容通过对K个记忆槽位的零和争夺实现竞争，从而产出更新后的记忆矩阵M_c'，作为下一会话的初始记忆。</w:t>
      </w:r>
    </w:p>
    <w:p>
      <w:pPr>
        <w:pStyle w:val="Normal"/>
        <w:ind w:firstLine="560"/>
        <w:rPr/>
      </w:pPr>
      <w:r>
        <w:rPr/>
        <w:t>具体地，阶段三紧接阶段二之后执行：</w:t>
      </w:r>
    </w:p>
    <w:p>
      <w:pPr>
        <w:pStyle w:val="Normal"/>
        <w:ind w:firstLine="560"/>
        <w:rPr/>
      </w:pPr>
      <w:r>
        <w:rPr/>
        <w:t>子步骤</w:t>
      </w:r>
      <w:r>
        <w:rPr/>
        <w:t>C1</w:t>
      </w:r>
      <w:r>
        <w:rPr/>
        <w:t>：将旧记忆与新候选沿槽位轴（第一维）拼接：</w:t>
      </w:r>
      <w:r>
        <w:rPr/>
        <w:br/>
        <w:t>P=[M_c;M_new]∈ℝ^(2K×d)</w:t>
      </w:r>
      <w:r>
        <w:rPr/>
        <w:t>。</w:t>
      </w:r>
    </w:p>
    <w:p>
      <w:pPr>
        <w:pStyle w:val="Normal"/>
        <w:ind w:firstLine="560"/>
        <w:rPr/>
      </w:pPr>
      <w:r>
        <w:rPr/>
        <w:t>子步骤</w:t>
      </w:r>
      <w:r>
        <w:rPr/>
        <w:t>C2</w:t>
      </w:r>
      <w:r>
        <w:rPr/>
        <w:t>：配置一组可学习的判定查询矩阵</w:t>
      </w:r>
      <w:r>
        <w:rPr/>
        <w:t>M_judge∈ℝ^(K×d)</w:t>
      </w:r>
      <w:r>
        <w:rPr/>
        <w:t>，其行数与最终输出</w:t>
      </w:r>
      <w:r>
        <w:rPr/>
        <w:t>M_c'</w:t>
      </w:r>
      <w:r>
        <w:rPr/>
        <w:t>的槽位数</w:t>
      </w:r>
      <w:r>
        <w:rPr/>
        <w:t>K</w:t>
      </w:r>
      <w:r>
        <w:rPr/>
        <w:t>一致。</w:t>
      </w:r>
      <w:r>
        <w:rPr/>
        <w:t>M_judge</w:t>
      </w:r>
      <w:r>
        <w:rPr/>
        <w:t>同样采用正交初始化并叠加槽位位置编码以打破对称性。</w:t>
      </w:r>
    </w:p>
    <w:p>
      <w:pPr>
        <w:pStyle w:val="Normal"/>
        <w:ind w:firstLine="560"/>
        <w:rPr/>
      </w:pPr>
      <w:r>
        <w:t>子步骤C3：以M_judge为初始槽位状态s^(0)，对i=1,...,T（本实施方式T=3）迭代执行下述竞争式更新：</w:t>
        <w:br/>
        <w:t>Z_i=RMSNorm(s^(i-1))·W_Q^(judge)·(RMSNorm(P)·W_K^(judge))^T/√d；Â_i=norm_slot(Softmax_K(Z_i))；u_i=Â_i·RMSNorm(P)·W_V^(judge)；s^(i)=GRU(u_i,s^(i-1))；M_c'=RMSNorm(s^(T))</w:t>
        <w:br/>
        <w:t>其中W_Q^(judge)、W_K^(judge)、W_V^(judge)∈ℝ^(d×d)为可学习投影；Softmax_K表示沿K个记忆槽位方向的softmax归一化；norm_slot表示对每一槽位行做加权平均归一化使其行和为1；GRU为权重跨槽位共享、隐状态逐槽位独立的门控循环单元。该结构的竞争性体现在两处：其一，P中2K个输入槽位（K个旧槽位+K个新候选槽位）中每一个的注意力质量沿K个记忆槽位零和分配——任一旧内容或新候选要进入某一记忆槽位，必须在该槽位的竞争中压过其余参与方，旧内容与新内容因此展开直接争夺；其二，每一记忆槽位的GRU门控在“保留原有槽位状态”与“写入本轮竞争胜出内容”之间做逐槽位取舍。仅当新候选在竞争中胜出且门控选择写入时，旧槽位内容才被覆盖。本方法将此机制称为“遗忘防御”机制。</w:t>
      </w:r>
    </w:p>
    <w:p>
      <w:pPr>
        <w:pStyle w:val="Normal"/>
        <w:ind w:firstLine="560"/>
        <w:rPr/>
      </w:pPr>
      <w:r>
        <w:rPr/>
        <w:t>子步骤</w:t>
      </w:r>
      <w:r>
        <w:rPr/>
        <w:t>C4</w:t>
      </w:r>
      <w:r>
        <w:rPr/>
        <w:t>（可选）：为防止</w:t>
      </w:r>
      <w:r>
        <w:rPr/>
        <w:t>softmax</w:t>
      </w:r>
      <w:r>
        <w:rPr/>
        <w:t>在置换对称解附近塌缩为均匀分布而失去与具体输入的绑定能力，在执行子步骤</w:t>
      </w:r>
      <w:r>
        <w:rPr/>
        <w:t>C3</w:t>
      </w:r>
      <w:r>
        <w:rPr/>
        <w:t>的</w:t>
      </w:r>
      <w:r>
        <w:rPr/>
        <w:t>softmax</w:t>
      </w:r>
      <w:r>
        <w:rPr/>
        <w:t>之前，对每一输入列在</w:t>
      </w:r>
      <w:r>
        <w:rPr/>
        <w:t>K</w:t>
      </w:r>
      <w:r>
        <w:rPr/>
        <w:t>个输出槽中仅保留得分最高的</w:t>
      </w:r>
      <w:r>
        <w:rPr/>
        <w:t>k</w:t>
      </w:r>
      <w:r>
        <w:rPr/>
        <w:t>个，将其余位置的</w:t>
      </w:r>
      <w:r>
        <w:rPr/>
        <w:t>logits</w:t>
      </w:r>
      <w:r>
        <w:rPr/>
        <w:t>置为</w:t>
      </w:r>
      <w:r>
        <w:rPr/>
        <w:t>-∞</w:t>
      </w:r>
      <w:r>
        <w:rPr/>
        <w:t>，再做</w:t>
      </w:r>
      <w:r>
        <w:rPr/>
        <w:t>softmax</w:t>
      </w:r>
      <w:r>
        <w:rPr/>
        <w:t>。</w:t>
      </w:r>
      <w:r>
        <w:rPr/>
        <w:t>k</w:t>
      </w:r>
      <w:r>
        <w:rPr/>
        <w:t>为小整数（典型取值</w:t>
      </w:r>
      <w:r>
        <w:rPr/>
        <w:t>1</w:t>
      </w:r>
      <w:r>
        <w:rPr/>
        <w:t>、</w:t>
      </w:r>
      <w:r>
        <w:rPr/>
        <w:t>2</w:t>
      </w:r>
      <w:r>
        <w:rPr/>
        <w:t>、</w:t>
      </w:r>
      <w:r>
        <w:rPr/>
        <w:t>4</w:t>
      </w:r>
      <w:r>
        <w:rPr/>
        <w:t>、</w:t>
      </w:r>
      <w:r>
        <w:rPr/>
        <w:t>8</w:t>
      </w:r>
      <w:r>
        <w:rPr/>
        <w:t>、</w:t>
      </w:r>
      <w:r>
        <w:rPr/>
        <w:t>16</w:t>
      </w:r>
      <w:r>
        <w:rPr/>
        <w:t>）。该修正强制每一新候选信息只能绑定到至多</w:t>
      </w:r>
      <w:r>
        <w:rPr/>
        <w:t>k</w:t>
      </w:r>
      <w:r>
        <w:rPr/>
        <w:t>个槽位，破坏置换对称的平滑混合通路，使得槽位获得可识别的特化。</w:t>
      </w:r>
    </w:p>
    <w:p>
      <w:pPr>
        <w:pStyle w:val="Normal"/>
        <w:ind w:firstLine="560"/>
        <w:rPr/>
      </w:pPr>
      <w:r>
        <w:rPr/>
        <w:t>子步骤</w:t>
      </w:r>
      <w:r>
        <w:rPr/>
        <w:t>C5</w:t>
      </w:r>
      <w:r>
        <w:rPr/>
        <w:t>（可选）：作为子步骤</w:t>
      </w:r>
      <w:r>
        <w:rPr/>
        <w:t>C3</w:t>
      </w:r>
      <w:r>
        <w:rPr/>
        <w:t>输出之上的备选实施方式，可在子步骤</w:t>
      </w:r>
      <w:r>
        <w:rPr/>
        <w:t>C3</w:t>
      </w:r>
      <w:r>
        <w:rPr/>
        <w:t>之后追加一个可学习的逐槽位门控向量</w:t>
      </w:r>
      <w:r>
        <w:rPr/>
        <w:t>g∈[0,1]^(K×1)</w:t>
      </w:r>
      <w:r>
        <w:rPr/>
        <w:t>，按下式融合：</w:t>
      </w:r>
      <w:r>
        <w:rPr/>
        <w:br/>
        <w:t>M_c':=(1-g)⊙M_c+g⊙M_judged</w:t>
        <w:br/>
      </w:r>
      <w:r>
        <w:rPr/>
        <w:t>其中</w:t>
      </w:r>
      <w:r>
        <w:rPr/>
        <w:t>M_judged</w:t>
      </w:r>
      <w:r>
        <w:rPr/>
        <w:t>表示子步骤</w:t>
      </w:r>
      <w:r>
        <w:rPr/>
        <w:t>C3</w:t>
      </w:r>
      <w:r>
        <w:rPr/>
        <w:t>的直接输出。</w:t>
      </w:r>
    </w:p>
    <w:p>
      <w:pPr>
        <w:pStyle w:val="Normal"/>
        <w:ind w:firstLine="560"/>
        <w:rPr/>
      </w:pPr>
      <w:r>
        <w:rPr/>
        <w:t>三阶段方法的协同关系（本发明的核心创新）</w:t>
      </w:r>
    </w:p>
    <w:p>
      <w:pPr>
        <w:pStyle w:val="Normal"/>
        <w:ind w:firstLine="560"/>
        <w:rPr/>
      </w:pPr>
      <w:r>
        <w:rPr/>
        <w:t>本发明所要保护的并非阶段一、阶段二、阶段三中任何一个孤立阶段，而是三个阶段以下述特定方式相互协同所形成的整体方法：</w:t>
      </w:r>
    </w:p>
    <w:p>
      <w:pPr>
        <w:pStyle w:val="Normal"/>
        <w:rPr/>
      </w:pPr>
      <w:r>
        <w:rPr/>
        <w:t>（</w:t>
      </w:r>
      <w:r>
        <w:rPr/>
        <w:t>1</w:t>
      </w:r>
      <w:r>
        <w:rPr/>
        <w:t>）阶段一所读出的</w:t>
      </w:r>
      <w:r>
        <w:rPr/>
        <w:t>m_ℓ</w:t>
      </w:r>
      <w:r>
        <w:rPr/>
        <w:t>必须来自一个与会话长度无关的固定容量矩阵</w:t>
      </w:r>
      <w:r>
        <w:rPr/>
        <w:t>M_c</w:t>
      </w:r>
      <w:r>
        <w:rPr/>
        <w:t>，从而保证推理算力恒定；该恒定性的代价是</w:t>
      </w:r>
      <w:r>
        <w:rPr/>
        <w:t>M_c</w:t>
      </w:r>
      <w:r>
        <w:rPr/>
        <w:t>的容量受限（</w:t>
      </w:r>
      <w:r>
        <w:rPr/>
        <w:t>K×d</w:t>
      </w:r>
      <w:r>
        <w:rPr/>
        <w:t>）。这一容量约束正是阶段二与阶段三必须存在的根本原因——必须有一个机制决定“以有限容量装下无限长的会话史”。</w:t>
      </w:r>
    </w:p>
    <w:p>
      <w:pPr>
        <w:pStyle w:val="Normal"/>
        <w:rPr/>
      </w:pPr>
      <w:r>
        <w:rPr/>
        <w:t>（</w:t>
      </w:r>
      <w:r>
        <w:rPr/>
        <w:t>2</w:t>
      </w:r>
      <w:r>
        <w:rPr/>
        <w:t>）阶段二必须输出与</w:t>
      </w:r>
      <w:r>
        <w:rPr/>
        <w:t>M_c</w:t>
      </w:r>
      <w:r>
        <w:rPr/>
        <w:t>形状严格一致的</w:t>
      </w:r>
      <w:r>
        <w:rPr/>
        <w:t>K×d</w:t>
      </w:r>
      <w:r>
        <w:rPr/>
        <w:t>候选矩阵，使其能够直接进入阶段三的拼接竞争；若阶段二输出任意可变长度的摘要序列，则阶段三的固定</w:t>
      </w:r>
      <w:r>
        <w:rPr/>
        <w:t>2K-softmax</w:t>
      </w:r>
      <w:r>
        <w:rPr/>
        <w:t>竞争结构将无法成立。</w:t>
      </w:r>
    </w:p>
    <w:p>
      <w:pPr>
        <w:pStyle w:val="Normal"/>
        <w:rPr/>
      </w:pPr>
      <w:r>
        <w:t>（3）阶段三的竞争式归一化必须以阶段二输出的M_new与上一时刻的M_c拼接后的2K个槽位共同作为竞争参与方，且归一化必须在旧内容与新内容之间构成零和竞争（本实施方式沿K个记忆槽位方向归一化，使每一参与方的注意力质量在K个槽位间零和分配）；这一零和竞争结构是“遗忘防御”机制成立的关键（实验六给出了将其替换为非竞争式更新后的实测退化）。</w:t>
      </w:r>
    </w:p>
    <w:p>
      <w:pPr>
        <w:pStyle w:val="Normal"/>
        <w:rPr/>
      </w:pPr>
      <w:r>
        <w:rPr/>
        <w:t>（</w:t>
      </w:r>
      <w:r>
        <w:rPr/>
        <w:t>4</w:t>
      </w:r>
      <w:r>
        <w:rPr/>
        <w:t>）阶段一中“每层独立投影</w:t>
      </w:r>
      <w:r>
        <w:rPr/>
        <w:t>+</w:t>
      </w:r>
      <w:r>
        <w:rPr/>
        <w:t>深度路由”的注入方式与阶段三的竞争式更新存在反馈耦合：被注入层若能从</w:t>
      </w:r>
      <w:r>
        <w:rPr/>
        <w:t>M_c</w:t>
      </w:r>
      <w:r>
        <w:rPr/>
        <w:t>中读出与当前任务相关的信息，则该层的损失梯度会回传至阶段三的判定查询</w:t>
      </w:r>
      <w:r>
        <w:rPr/>
        <w:t>M_judge</w:t>
      </w:r>
      <w:r>
        <w:rPr/>
        <w:t>，从而引导其在下一次竞争中倾向于保留有用槽位；反之，若某槽位的内容长期不被任何注入层选中，则梯度信号自然弱化，阶段三在竞争中将更容易将其覆盖。这一“使用即保留、不用即遗忘”的隐式遗忘曲线由三阶段的耦合自动产生。</w:t>
      </w:r>
    </w:p>
    <w:p>
      <w:pPr>
        <w:pStyle w:val="Normal"/>
        <w:rPr/>
      </w:pPr>
      <w:r>
        <w:rPr/>
        <w:t>（</w:t>
      </w:r>
      <w:r>
        <w:rPr/>
        <w:t>5</w:t>
      </w:r>
      <w:r>
        <w:rPr/>
        <w:t>）阶段一的深度路由结构使得不同语义层级的语言模型层能够独立决定是否查询</w:t>
      </w:r>
      <w:r>
        <w:rPr/>
        <w:t>M_c</w:t>
      </w:r>
      <w:r>
        <w:rPr/>
        <w:t>，因而</w:t>
      </w:r>
      <w:r>
        <w:rPr/>
        <w:t>M_c</w:t>
      </w:r>
      <w:r>
        <w:rPr/>
        <w:t>在阶段二写入时可以同时承载多种语义层级的信息，而无需在写入时即分层分类——分层是由阶段一的读出过程自动完成的。这一“写入时不分层、读取时按需分层”的工作方式，是本发明区别于显式分层记忆模型的另一显著特征。</w:t>
      </w:r>
    </w:p>
    <w:p>
      <w:pPr>
        <w:pStyle w:val="Normal"/>
        <w:rPr/>
      </w:pPr>
      <w:r>
        <w:rPr/>
        <w:t>正是上述（</w:t>
      </w:r>
      <w:r>
        <w:rPr/>
        <w:t>1</w:t>
      </w:r>
      <w:r>
        <w:rPr/>
        <w:t>）至（</w:t>
      </w:r>
      <w:r>
        <w:rPr/>
        <w:t>5</w:t>
      </w:r>
      <w:r>
        <w:rPr/>
        <w:t>）所描述的相互依赖与相互绑定，使三个阶段共同构成一个不可分拆的方法整体；任意单独提取其中一个阶段，均无法实现本发明所声称的恒定算力下的长程记忆效果</w:t>
      </w:r>
      <w:r>
        <w:rPr/>
        <w:t>。</w:t>
      </w:r>
    </w:p>
    <w:p>
      <w:pPr>
        <w:pStyle w:val="Normal"/>
        <w:ind w:firstLine="560"/>
        <w:rPr/>
      </w:pPr>
      <w:r>
        <w:rPr/>
        <w:t>实施例</w:t>
      </w:r>
      <w:r>
        <w:rPr/>
        <w:t>1</w:t>
      </w:r>
      <w:r>
        <w:rPr/>
        <w:t>，一、</w:t>
      </w:r>
      <w:r>
        <w:rPr/>
        <w:t>实施环境</w:t>
      </w:r>
      <w:r>
        <w:rPr/>
        <w:t>，</w:t>
      </w:r>
      <w:r>
        <w:rPr/>
        <w:t>以一个公开可获得的预训练</w:t>
      </w:r>
      <w:r>
        <w:rPr/>
        <w:t>Transformer</w:t>
      </w:r>
      <w:r>
        <w:rPr/>
        <w:t>解码器架构语言模型为本体，记其层数</w:t>
      </w:r>
      <w:r>
        <w:rPr/>
        <w:t>L</w:t>
      </w:r>
      <w:r>
        <w:rPr/>
        <w:t>、隐层维度</w:t>
      </w:r>
      <w:r>
        <w:rPr/>
        <w:t>d</w:t>
      </w:r>
      <w:r>
        <w:rPr/>
        <w:t>。本实施方式以</w:t>
      </w:r>
      <w:r>
        <w:rPr/>
        <w:t>L=28</w:t>
      </w:r>
      <w:r>
        <w:rPr/>
        <w:t>、</w:t>
      </w:r>
      <w:r>
        <w:rPr/>
        <w:t>d=1024</w:t>
      </w:r>
      <w:r>
        <w:rPr/>
        <w:t>的</w:t>
      </w:r>
      <w:r>
        <w:rPr/>
        <w:t>0.6B</w:t>
      </w:r>
      <w:r>
        <w:rPr/>
        <w:t>参数规模模型，以及</w:t>
      </w:r>
      <w:r>
        <w:rPr/>
        <w:t>L=28</w:t>
      </w:r>
      <w:r>
        <w:rPr/>
        <w:t>、</w:t>
      </w:r>
      <w:r>
        <w:rPr/>
        <w:t>d=2048</w:t>
      </w:r>
      <w:r>
        <w:rPr/>
        <w:t>的</w:t>
      </w:r>
      <w:r>
        <w:rPr/>
        <w:t>1.7B</w:t>
      </w:r>
      <w:r>
        <w:rPr/>
        <w:t>参数规模模型为示例；本方法对模型的具体参数规模不作限定</w:t>
      </w:r>
      <w:r>
        <w:rPr/>
        <w:t>；</w:t>
      </w:r>
      <w:r>
        <w:rPr/>
        <w:t>运行环境为单卡通用</w:t>
      </w:r>
      <w:r>
        <w:rPr/>
        <w:t>GPU</w:t>
      </w:r>
      <w:r>
        <w:rPr/>
        <w:t>加速器（例如</w:t>
      </w:r>
      <w:r>
        <w:rPr/>
        <w:t>NVIDIA H100/H200/A100</w:t>
      </w:r>
      <w:r>
        <w:rPr/>
        <w:t>等）；本方法对加速器的具体型号、显存容量、互联拓扑不作限定</w:t>
      </w:r>
      <w:r>
        <w:rPr/>
        <w:t>；</w:t>
      </w:r>
      <w:r>
        <w:rPr/>
        <w:t>本实施方式优选采用语言模型本体参数冻结、仅训练本方法所引入的方法侧参数的策略。所述冻结策略本身并非本发明所主张保护的方法步骤，仅作为本方法在工程实施阶段的一种可选环境选择。</w:t>
      </w:r>
    </w:p>
    <w:p>
      <w:pPr>
        <w:pStyle w:val="Normal"/>
        <w:ind w:firstLine="560"/>
        <w:rPr/>
      </w:pPr>
      <w:r>
        <w:t>二、方法侧参数选取，在本实施方式中：记忆矩阵M_c的槽位数K=128，因此M_c∈ℝ^(128×d)，即0.6B配置下约256KB（bf16精度，128×1024×2字节）、1.7B配置下约512KB（128×2048×2字节）。</w:t>
      </w:r>
    </w:p>
    <w:p>
      <w:pPr>
        <w:pStyle w:val="Normal"/>
        <w:ind w:firstLine="560"/>
        <w:rPr/>
      </w:pPr>
      <w:r>
        <w:rPr/>
        <w:t>阶段一被注入层选为均匀分布于</w:t>
      </w:r>
      <w:r>
        <w:rPr/>
        <w:t>{1,2,...,L}</w:t>
      </w:r>
      <w:r>
        <w:rPr/>
        <w:t>中的若干层（典型选取每隔⌈</w:t>
      </w:r>
      <w:r>
        <w:rPr/>
        <w:t>L/4⌉</w:t>
      </w:r>
      <w:r>
        <w:rPr/>
        <w:t>层注入一次）；每层独立配置</w:t>
      </w:r>
      <w:r>
        <w:rPr/>
        <w:t>W_Q^(read,ℓ)</w:t>
      </w:r>
      <w:r>
        <w:rPr/>
        <w:t>、</w:t>
      </w:r>
      <w:r>
        <w:rPr/>
        <w:t>W_K^(read,ℓ)</w:t>
      </w:r>
      <w:r>
        <w:rPr/>
        <w:t>、</w:t>
      </w:r>
      <w:r>
        <w:rPr/>
        <w:t>W_V^(read,ℓ)</w:t>
      </w:r>
      <w:r>
        <w:rPr/>
        <w:t>三组</w:t>
      </w:r>
      <w:r>
        <w:rPr/>
        <w:t>d×d</w:t>
      </w:r>
      <w:r>
        <w:rPr/>
        <w:t>投影。</w:t>
      </w:r>
    </w:p>
    <w:p>
      <w:pPr>
        <w:pStyle w:val="Normal"/>
        <w:ind w:firstLine="560"/>
        <w:rPr/>
      </w:pPr>
      <w:r>
        <w:rPr/>
        <w:t>阶段一的精化深度</w:t>
      </w:r>
      <w:r>
        <w:rPr/>
        <w:t>R=4</w:t>
      </w:r>
      <w:r>
        <w:rPr/>
        <w:t>；为保证零初始化时不扰动语言模型原前向行为，各精化层的</w:t>
      </w:r>
      <w:r>
        <w:rPr/>
        <w:t>W_V^(read,ℓ,r)</w:t>
      </w:r>
      <w:r>
        <w:rPr/>
        <w:t>（</w:t>
      </w:r>
      <w:r>
        <w:rPr/>
        <w:t>r≥1</w:t>
      </w:r>
      <w:r>
        <w:rPr/>
        <w:t>）以零初始化（“</w:t>
      </w:r>
      <w:r>
        <w:rPr/>
        <w:t>ReZero”</w:t>
      </w:r>
      <w:r>
        <w:rPr/>
        <w:t>式）。</w:t>
      </w:r>
    </w:p>
    <w:p>
      <w:pPr>
        <w:pStyle w:val="Normal"/>
        <w:ind w:firstLine="560"/>
        <w:rPr/>
      </w:pPr>
      <w:r>
        <w:t>阶段二的提取深度L_E=4；M_in∈ℝ^(128×d)行向量以正交初始化，并在前向传播时叠加槽位维的正弦Fourier位置编码以打破对称性。</w:t>
      </w:r>
    </w:p>
    <w:p>
      <w:pPr>
        <w:pStyle w:val="Normal"/>
        <w:ind w:firstLine="560"/>
        <w:rPr/>
      </w:pPr>
      <w:r>
        <w:rPr/>
        <w:t>阶段二的输入源采用语言模型的某一中间层（例如ℓ</w:t>
      </w:r>
      <w:r>
        <w:rPr/>
        <w:t>_*=⌊L/2⌋</w:t>
      </w:r>
      <w:r>
        <w:rPr/>
        <w:t>）的隐状态，并经</w:t>
      </w:r>
      <w:r>
        <w:rPr/>
        <w:t>RMSNorm</w:t>
      </w:r>
      <w:r>
        <w:rPr/>
        <w:t>归一化后送入提取栈。</w:t>
      </w:r>
    </w:p>
    <w:p>
      <w:pPr>
        <w:pStyle w:val="Normal"/>
        <w:ind w:firstLine="560"/>
        <w:rPr/>
      </w:pPr>
      <w:r>
        <w:t>阶段三的判定查询M_judge∈ℝ^(128×d)同样以正交初始化+槽位位置编码；W_Q^(judge)、W_K^(judge)、W_V^(judge)为常规Xavier初始化的d×d投影；槽位竞争softmax沿K=128个槽位方向归一化并逐槽位做加权平均归一化；迭代次数T=3；GRU门控循环单元的隐状态维度为d。</w:t>
      </w:r>
    </w:p>
    <w:p>
      <w:pPr>
        <w:pStyle w:val="Normal"/>
        <w:ind w:firstLine="560"/>
        <w:rPr/>
      </w:pPr>
      <w:r>
        <w:rPr/>
        <w:t>阶段三可选的稀疏</w:t>
      </w:r>
      <w:r>
        <w:rPr/>
        <w:t>top-k</w:t>
      </w:r>
      <w:r>
        <w:rPr/>
        <w:t>模块取</w:t>
      </w:r>
      <w:r>
        <w:rPr/>
        <w:t>k=8</w:t>
      </w:r>
      <w:r>
        <w:rPr/>
        <w:t>。</w:t>
      </w:r>
    </w:p>
    <w:p>
      <w:pPr>
        <w:pStyle w:val="Normal"/>
        <w:ind w:firstLine="560"/>
        <w:rPr/>
      </w:pPr>
      <w:r>
        <w:rPr/>
        <w:t>阶段一的深度路由伪查询</w:t>
      </w:r>
      <w:r>
        <w:rPr/>
        <w:t>w_ℓ</w:t>
      </w:r>
      <w:r>
        <w:rPr/>
        <w:t>以零初始化，且对其</w:t>
      </w:r>
      <w:r>
        <w:rPr/>
        <w:t>bias</w:t>
      </w:r>
      <w:r>
        <w:rPr/>
        <w:t>项设置初始偏置以保证训练步</w:t>
      </w:r>
      <w:r>
        <w:rPr/>
        <w:t>0</w:t>
      </w:r>
      <w:r>
        <w:rPr/>
        <w:t>时本方法对模型前向输出实现“位级一致”，避免初始化噪声扰动。</w:t>
      </w:r>
    </w:p>
    <w:p>
      <w:pPr>
        <w:pStyle w:val="Normal"/>
        <w:ind w:firstLine="560"/>
        <w:rPr/>
      </w:pPr>
      <w:r>
        <w:rPr/>
        <w:t>三、方法的逐步运行流程</w:t>
      </w:r>
      <w:r>
        <w:rPr/>
        <w:t>，</w:t>
      </w:r>
      <w:r>
        <w:rPr/>
        <w:t>设当前为第</w:t>
      </w:r>
      <w:r>
        <w:rPr/>
        <w:t>t</w:t>
      </w:r>
      <w:r>
        <w:rPr/>
        <w:t>个会话；上一时刻的记忆矩阵记为</w:t>
      </w:r>
      <w:r>
        <w:rPr/>
        <w:t>M_c^(t-1)</w:t>
      </w:r>
      <w:r>
        <w:rPr/>
        <w:t>。本实施方式按下述步骤运行本方法：</w:t>
      </w:r>
    </w:p>
    <w:p>
      <w:pPr>
        <w:pStyle w:val="Normal"/>
        <w:ind w:firstLine="560"/>
        <w:rPr/>
      </w:pPr>
      <w:r>
        <w:rPr/>
        <w:t>步骤</w:t>
      </w:r>
      <w:r>
        <w:rPr/>
        <w:t>S1</w:t>
      </w:r>
      <w:r>
        <w:rPr/>
        <w:t>（推理阶段——阶段一执行）：将本次会话内的当前</w:t>
      </w:r>
      <w:r>
        <w:rPr/>
        <w:t>token</w:t>
      </w:r>
      <w:r>
        <w:rPr/>
        <w:t>序列依次送入语言模型；在每一被注入层ℓ处：计算</w:t>
      </w:r>
      <w:r>
        <w:rPr/>
        <w:t>X_ℓ</w:t>
      </w:r>
      <w:r>
        <w:rPr/>
        <w:t>；以</w:t>
      </w:r>
      <w:r>
        <w:rPr/>
        <w:t>W_Q^(read,ℓ)</w:t>
      </w:r>
      <w:r>
        <w:rPr/>
        <w:t>、</w:t>
      </w:r>
      <w:r>
        <w:rPr/>
        <w:t>W_K^(read,ℓ)</w:t>
      </w:r>
      <w:r>
        <w:rPr/>
        <w:t>、</w:t>
      </w:r>
      <w:r>
        <w:rPr/>
        <w:t>W_V^(read,ℓ)</w:t>
      </w:r>
      <w:r>
        <w:rPr/>
        <w:t>与</w:t>
      </w:r>
      <w:r>
        <w:rPr/>
        <w:t>M_c^(t-1)</w:t>
      </w:r>
      <w:r>
        <w:rPr/>
        <w:t>计算</w:t>
      </w:r>
      <w:r>
        <w:rPr/>
        <w:t>m_ℓ</w:t>
      </w:r>
      <w:r>
        <w:rPr/>
        <w:t>；对</w:t>
      </w:r>
      <w:r>
        <w:rPr/>
        <w:t>m_ℓ</w:t>
      </w:r>
      <w:r>
        <w:rPr/>
        <w:t>进行</w:t>
      </w:r>
      <w:r>
        <w:rPr/>
        <w:t>R</w:t>
      </w:r>
      <w:r>
        <w:rPr/>
        <w:t>次精化；将</w:t>
      </w:r>
      <w:r>
        <w:rPr/>
        <w:t>m_ℓ</w:t>
      </w:r>
      <w:r>
        <w:rPr/>
        <w:t>作为基础源</w:t>
      </w:r>
      <w:r>
        <w:rPr/>
        <w:t>b_{-1}</w:t>
      </w:r>
      <w:r>
        <w:rPr/>
        <w:t>加入该层的深度路由源池</w:t>
      </w:r>
      <w:r>
        <w:rPr/>
        <w:t>V_ℓ</w:t>
      </w:r>
      <w:r>
        <w:rPr/>
        <w:t>，并按可学习伪查询</w:t>
      </w:r>
      <w:r>
        <w:rPr/>
        <w:t>w_ℓ</w:t>
      </w:r>
      <w:r>
        <w:rPr/>
        <w:t>做</w:t>
      </w:r>
      <w:r>
        <w:rPr/>
        <w:t>softmax</w:t>
      </w:r>
      <w:r>
        <w:rPr/>
        <w:t>加权，得到</w:t>
      </w:r>
      <w:r>
        <w:rPr/>
        <w:t>h_ℓ</w:t>
      </w:r>
      <w:r>
        <w:rPr/>
        <w:t>作为该层后续子层的输入。循环直至本次会话结束。</w:t>
      </w:r>
    </w:p>
    <w:p>
      <w:pPr>
        <w:pStyle w:val="Normal"/>
        <w:ind w:firstLine="560"/>
        <w:rPr/>
      </w:pPr>
      <w:r>
        <w:t>步骤S2（会话间阶段——阶段二执行）：本次会话结束后，取本次会话所对应的token表征序列C；若C来自中间层，则对C进行RMSNorm归一化；以M_in为查询、C为键值做单次跨层注意力压缩得到E^(0)；对E^(0)进行L_E=4次提取精化，得到候选记忆M_new:=E^(L_E)。</w:t>
      </w:r>
    </w:p>
    <w:p>
      <w:pPr>
        <w:pStyle w:val="Normal"/>
        <w:ind w:firstLine="560"/>
        <w:rPr/>
      </w:pPr>
      <w:r>
        <w:t>步骤S3（会话间阶段——阶段三执行）：将M_c^(t-1)与M_new沿槽位轴拼接为P∈ℝ^(256×d)；以M_judge为初始槽位状态，对P执行T=3次迭代槽位竞争更新——每次迭代：计算槽位-输入注意力得分；若启用稀疏top-k模块，对每一输入列仅保留得分最高的k个槽位（其余置为-∞）；沿K个槽位方向做softmax并逐槽位加权平均归一化；读取加权值后以GRU更新槽位状态——迭代结束后经RMSNorm得到M_c^(t)；将M_c^(t)作为下一会话执行步骤S1时所使用的记忆矩阵。</w:t>
      </w:r>
    </w:p>
    <w:p>
      <w:pPr>
        <w:pStyle w:val="Normal"/>
        <w:rPr/>
      </w:pPr>
      <w:r>
        <w:rPr/>
        <w:t>步骤</w:t>
      </w:r>
      <w:r>
        <w:rPr/>
        <w:t>S4</w:t>
      </w:r>
      <w:r>
        <w:rPr/>
        <w:t>（多会话上下文部署）：对每一会话上下文</w:t>
      </w:r>
      <w:r>
        <w:rPr/>
        <w:t>u</w:t>
      </w:r>
      <w:r>
        <w:rPr/>
        <w:t>，独立维护其私有</w:t>
      </w:r>
      <w:r>
        <w:rPr/>
        <w:t>M_c^(t,u)</w:t>
      </w:r>
      <w:r>
        <w:rPr/>
        <w:t>；步骤</w:t>
      </w:r>
      <w:r>
        <w:rPr/>
        <w:t>S1</w:t>
      </w:r>
      <w:r>
        <w:rPr/>
        <w:t>至</w:t>
      </w:r>
      <w:r>
        <w:rPr/>
        <w:t>S3</w:t>
      </w:r>
      <w:r>
        <w:rPr/>
        <w:t>中所涉及的方法侧参数在所有会话上下文之间共享；</w:t>
      </w:r>
      <w:r>
        <w:rPr/>
        <w:t>M_c^(t,u)</w:t>
      </w:r>
      <w:r>
        <w:rPr/>
        <w:t>在端侧、用户加密云端或集中服务端中任一处存储，并在每次推理调用时按</w:t>
      </w:r>
      <w:r>
        <w:rPr/>
        <w:t>u</w:t>
      </w:r>
      <w:r>
        <w:rPr/>
        <w:t>索引载入。</w:t>
      </w:r>
    </w:p>
    <w:p>
      <w:r>
        <w:rPr>
          <w:b/>
        </w:rPr>
        <w:t>四、方法侧参数的训练方式</w:t>
      </w:r>
    </w:p>
    <w:p>
      <w:r>
        <w:rPr>
          <w:b w:val="0"/>
        </w:rPr>
        <w:t>本实施方式中，全部方法侧可学习参数（各被注入层的读出投影与精化层、深度路由伪查询w_ℓ、改写查询M_in、提取投影与提取精化层、判定查询M_judge与判定投影）在语言模型本体参数完全冻结的条件下联合训练获得。训练数据为多会话对话链（每会话512 token）；训练时按时间截断反向传播（TBPTT）方式展开连续k=3个会话：逐会话执行阶段二/阶段三的记忆写入，并对窗口内各会话在阶段一读出条件下计算逐token语言建模交叉熵损失（证据会话本身的损失被屏蔽，填充token不计损失），其中依赖跨会话历史信息的回调token的损失以1+5.0倍加权。优化器为AdamW（β₁=0.9，β₂=0.95），学习率1e-4（线性预热200步后余弦退火），共训练1000步，批大小4、梯度累积2（有效批大小8），梯度范数裁剪1.0；训练中以概率0.10随机将M_c置零（记忆dropout）、以概率0.05随机丢弃上下文会话（上下文dropout）。</w:t>
      </w:r>
    </w:p>
    <w:p>
      <w:r>
        <w:rPr>
          <w:b w:val="0"/>
        </w:rPr>
        <w:t>训练总损失为 L = L_LM + λ_floor·L_floor。其中L_LM为上述加权语言建模损失；L_floor为深度路由记忆占比下限辅助损失（对应权利要求9）：L_floor = (1/|𝓛|)·Σ_{ℓ∈𝓛} ReLU(τ − ᾱ_{mem,ℓ})，其中𝓛为全部被注入层的集合，ᾱ_{mem,ℓ}为第ℓ层深度路由分配给记忆源b_{-1}的softmax权重α_{b_{-1}→ℓ}在当前批次全部token位置上的平均值；本实施方式取τ=0.10、λ_floor=0.5。该辅助损失属于负载均衡类辅助损失：若无此项，深度路由在训练早期会将记忆源权重坍缩至约0.001（与混合专家模型中的专家坍缩现象同型），使阶段二/阶段三的参数得不到下游梯度而无法训练（实测消融见实验四）；加入此项后，路由被强制保持对记忆源的最低采样量，方法方可端到端训练成功。该辅助损失仅在训练阶段生效，推理阶段的方法计算与之完全无关。</w:t>
      </w:r>
    </w:p>
    <w:p>
      <w:r>
        <w:rPr>
          <w:b w:val="0"/>
        </w:rPr>
        <w:t>0.6B配置下方法侧可训练参数约41.5M（约为本体参数的6%）；训练在单卡NVIDIA H100上完成；随机种子取{1,2,3,4}，以多种子均值±标准差报告结果。</w:t>
      </w:r>
    </w:p>
    <w:p>
      <w:pPr>
        <w:pStyle w:val="Normal"/>
        <w:ind w:firstLine="560"/>
        <w:rPr/>
      </w:pPr>
      <w:r>
        <w:t>五、若干替代实施方式，本节列举若干可替换的实施方式，所述替换均落入本发明的保护范围：</w:t>
      </w:r>
    </w:p>
    <w:p>
      <w:pPr>
        <w:pStyle w:val="Normal"/>
        <w:ind w:firstLine="560"/>
        <w:rPr/>
      </w:pPr>
      <w:r>
        <w:rPr/>
        <w:t>关于阶段一注入位置：被注入层的索引集合可选为所有层均注入、仅指定的少数层注入、或按可学习的层选择门动态决定注入层。</w:t>
      </w:r>
    </w:p>
    <w:p>
      <w:pPr>
        <w:pStyle w:val="Normal"/>
        <w:ind w:firstLine="560"/>
        <w:rPr/>
      </w:pPr>
      <w:r>
        <w:rPr/>
        <w:t>关于阶段二输入源：</w:t>
      </w:r>
      <w:r>
        <w:rPr/>
        <w:t>C</w:t>
      </w:r>
      <w:r>
        <w:rPr/>
        <w:t>可选为嵌入层输出、任意指定中间层的隐状态、或多层隐状态的拼接或加权和。</w:t>
      </w:r>
    </w:p>
    <w:p>
      <w:pPr>
        <w:pStyle w:val="Normal"/>
        <w:ind w:firstLine="560"/>
        <w:rPr/>
      </w:pPr>
      <w:r>
        <w:t>关于阶段三槽位更新策略：可采用纯竞争模式（直接以C3的输出作为M_c^(t)）或门控模式（按C5与旧记忆做门控融合）。此外，迭代式槽位竞争更新（权利要求6）亦可简化为权利要求10所述的单轮跨2K维softmax判定：M_c'=Softmax(M_judge·W_Q^(judge)·(P·W_K^(judge))^T/√d)·P·W_V^(judge)，其中Softmax沿2K个输入方向归一化，使每一输出槽位的注意力权重在K个旧槽位与K个新候选槽位之间构成一个概率分布。该单轮变体结构更简单（无迭代、无门控循环单元，参数量约为迭代式实现的三分之一），从零训练的实测效果低于权利要求6所述迭代式实现（见实验六），但仍显著超过全部检索增强基线，可在算力或参数预算受限的场景作为备选实施方式。</w:t>
      </w:r>
    </w:p>
    <w:p>
      <w:pPr>
        <w:pStyle w:val="Normal"/>
        <w:ind w:firstLine="560"/>
        <w:rPr/>
      </w:pPr>
      <w:r>
        <w:rPr/>
        <w:t>关于稀疏</w:t>
      </w:r>
      <w:r>
        <w:rPr/>
        <w:t>top-k</w:t>
      </w:r>
      <w:r>
        <w:rPr/>
        <w:t>修正：可仅应用于阶段一、仅应用于阶段三，或同时应用于两者；</w:t>
      </w:r>
      <w:r>
        <w:rPr/>
        <w:t>k</w:t>
      </w:r>
      <w:r>
        <w:rPr/>
        <w:t>的典型取值为</w:t>
      </w:r>
      <w:r>
        <w:rPr/>
        <w:t>1</w:t>
      </w:r>
      <w:r>
        <w:rPr/>
        <w:t>、</w:t>
      </w:r>
      <w:r>
        <w:rPr/>
        <w:t>2</w:t>
      </w:r>
      <w:r>
        <w:rPr/>
        <w:t>、</w:t>
      </w:r>
      <w:r>
        <w:rPr/>
        <w:t>4</w:t>
      </w:r>
      <w:r>
        <w:rPr/>
        <w:t>、</w:t>
      </w:r>
      <w:r>
        <w:rPr/>
        <w:t>8</w:t>
      </w:r>
      <w:r>
        <w:rPr/>
        <w:t>、</w:t>
      </w:r>
      <w:r>
        <w:rPr/>
        <w:t>16</w:t>
      </w:r>
      <w:r>
        <w:rPr/>
        <w:t>。</w:t>
      </w:r>
    </w:p>
    <w:p>
      <w:r>
        <w:t>关于阶段二/阶段三的执行时机：候选记忆矩阵的生成（阶段二）与竞争式更新（阶段三）既可在一次会话结束后立即同步执行，亦可延迟执行、异步执行或对多个会话批量执行；只要更新后的记忆矩阵在其被后续读出使用之前完成写入，执行时机与执行方式的改变均不影响本方法的实施与效果，均属于本发明的实施方式。</w:t>
      </w:r>
    </w:p>
    <w:p>
      <w:pPr>
        <w:pStyle w:val="Normal"/>
        <w:ind w:firstLine="560"/>
        <w:rPr/>
      </w:pPr>
      <w:r>
        <w:rPr/>
        <w:t>关于槽位数</w:t>
      </w:r>
      <w:r>
        <w:rPr/>
        <w:t>K</w:t>
      </w:r>
      <w:r>
        <w:rPr/>
        <w:t>：可在</w:t>
      </w:r>
      <w:r>
        <w:rPr/>
        <w:t>{16,32,64,128,256,512,1024,...}</w:t>
      </w:r>
      <w:r>
        <w:rPr/>
        <w:t>范围内选择。</w:t>
      </w:r>
    </w:p>
    <w:p>
      <w:pPr>
        <w:pStyle w:val="Normal"/>
        <w:ind w:firstLine="560"/>
        <w:rPr/>
      </w:pPr>
      <w:r>
        <w:rPr/>
        <w:t>关于数值精度与存储格式：</w:t>
      </w:r>
      <w:r>
        <w:rPr/>
        <w:t>M_c</w:t>
      </w:r>
      <w:r>
        <w:rPr/>
        <w:t>可以</w:t>
      </w:r>
      <w:r>
        <w:rPr/>
        <w:t>bf16</w:t>
      </w:r>
      <w:r>
        <w:rPr/>
        <w:t>、</w:t>
      </w:r>
      <w:r>
        <w:rPr/>
        <w:t>fp16</w:t>
      </w:r>
      <w:r>
        <w:rPr/>
        <w:t>、</w:t>
      </w:r>
      <w:r>
        <w:rPr/>
        <w:t>int8</w:t>
      </w:r>
      <w:r>
        <w:rPr/>
        <w:t>、</w:t>
      </w:r>
      <w:r>
        <w:rPr/>
        <w:t>int4</w:t>
      </w:r>
      <w:r>
        <w:rPr/>
        <w:t>等任意数值精度存储；存储位置可在用户终端、加密云端、可信执行环境或集中服务端。</w:t>
      </w:r>
    </w:p>
    <w:p>
      <w:pPr>
        <w:pStyle w:val="Normal"/>
        <w:ind w:firstLine="560"/>
        <w:rPr/>
      </w:pPr>
      <w:r>
        <w:t>六、适用领域</w:t>
      </w:r>
    </w:p>
    <w:p>
      <w:pPr>
        <w:pStyle w:val="Normal"/>
        <w:ind w:firstLine="560"/>
        <w:rPr/>
      </w:pPr>
      <w:r>
        <w:rPr/>
        <w:t>本方法的优选适用领域包括但不限于：智能对话助理、角色扮演与陪伴型</w:t>
      </w:r>
      <w:r>
        <w:rPr/>
        <w:t>AI</w:t>
      </w:r>
      <w:r>
        <w:rPr/>
        <w:t>、客户服务对话系统、自主编码与研究智能体、医疗对话系统（按患者维护记忆）、教育辅导系统（按学生维护记忆）、面向认知障碍人群的认知辅助系统、以及任何需要在不修改基座模型权重的前提下提供长程会话记忆能力的应用场景</w:t>
      </w:r>
      <w:r>
        <w:rPr/>
        <w:t>。</w:t>
      </w:r>
    </w:p>
    <w:p>
      <w:r>
        <w:rPr>
          <w:b/>
        </w:rPr>
        <w:t>七、实验验证</w:t>
      </w:r>
    </w:p>
    <w:p>
      <w:r>
        <w:rPr>
          <w:b w:val="0"/>
        </w:rPr>
        <w:t>为验证本发明的技术效果，以下在公开的长程会话记忆基准 LongMemEval-S 上对“具体实施方式”所述实施例进行系统实验。除特别说明外，实验均以参数完全冻结的 Qwen3-0.6B（L=28，d=1024）与 Qwen3-1.7B（L=28，d=2048）预训练语言模型为本体；默认记忆矩阵槽位数 K=128，读出精化深度 R=4，提取深度 L_E=4，阶段三采用权利要求 6 所述迭代式槽位竞争更新（T=3）。作为对照，权利要求 10 所述单轮 2K-softmax 判定变体亦按完全相同的配方从零训练并评测（见实验六）；除特别说明外，实验一至实验五均采用权利要求 6 实施方式。方法侧参数在 LongMemEval-S 训练划分（450 条会话链）上以端到端语言建模损失训练 1000 步获得（0.6B 配置下可训练参数约 41.5M，约为本体参数的 6%），并在验证划分（50 条会话链，每链约 50 个会话、每会话 512 token，即约 2.5 万 token 的跨会话历史）上评测。评测指标为“回调交叉熵”，即回调会话中必须依赖跨会话历史信息方能正确生成的关键 token 的平均交叉熵（单位 nats，越低越好）；记 Δ =（无记忆基线的回调交叉熵）−（被测方法的回调交叉熵），Δ 越大表示长程记忆对生成质量的改善越大。作为交叉熵之外的直观补充，部分实验同时报告“回调 token 贪心精确匹配率”，即对回调 token 逐位置取 argmax 预测与参考 token 的精确匹配比例（越高越好）。全部从零训练的对比与消融单元均使用与完整方法完全相同的训练数据、训练步数、优化器与超参数（见“方法侧参数的训练方式”一节）；各基线方案使用相同且同样冻结的语言模型本体，其可调设置（RAG 的检索器种类与 top-k、LoRA 的学习率与更新协议）均经扫描后取对基线最有利的组合作为主对比。全部实验的原始日志、检查点与配置文件均已存档。硬件环境为单卡 NVIDIA H100。</w:t>
      </w:r>
    </w:p>
    <w:p>
      <w:r>
        <w:rPr>
          <w:b/>
        </w:rPr>
        <w:t>实验一：推理开销随历史长度的量化对比（与“扩展上下文窗口”方案对比）</w:t>
      </w:r>
    </w:p>
    <w:p>
      <w:r>
        <w:rPr>
          <w:b w:val="0"/>
        </w:rPr>
        <w:t>实验设置：基线为将全部历史以原始 token 拼接进上下文窗口的同一 Qwen3-0.6B 模型；本发明按每 512 token 一个会话将历史逐会话写入固定容量记忆矩阵 M_c，推理时仅携带当前会话（512 token）与 M_c。历史长度 H 自 1,024 逐级倍增至 32,768 token（均为真实对话 token）。测量单次推理的预填充延时、推理峰值显存，以及维持该会话所需的持久状态大小（基线为 KV 缓存，本发明为当前会话 KV 缓存 + M_c）。每组测量重复 5 次取中位数。结果如表 1 与图 2 所示。</w:t>
      </w:r>
    </w:p>
    <w:p>
      <w:r>
        <w:rPr>
          <w:b w:val="0"/>
        </w:rPr>
        <w:t>表 1  推理开销随历史长度 H 的变化（延时单位 ms，显存单位 GiB，存储单位 MiB）</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42"/>
        <w:gridCol w:w="1242"/>
        <w:gridCol w:w="1242"/>
        <w:gridCol w:w="1242"/>
        <w:gridCol w:w="1242"/>
        <w:gridCol w:w="1242"/>
        <w:gridCol w:w="1242"/>
      </w:tblGrid>
      <w:tr>
        <w:tc>
          <w:tcPr>
            <w:tcW w:type="dxa" w:w="1242"/>
          </w:tcPr>
          <w:p>
            <w:r>
              <w:rPr>
                <w:b/>
                <w:sz w:val="18"/>
              </w:rPr>
              <w:t>历史长度 H</w:t>
              <w:br/>
              <w:t>(token)</w:t>
            </w:r>
          </w:p>
        </w:tc>
        <w:tc>
          <w:tcPr>
            <w:tcW w:type="dxa" w:w="1242"/>
          </w:tcPr>
          <w:p>
            <w:r>
              <w:rPr>
                <w:b/>
                <w:sz w:val="18"/>
              </w:rPr>
              <w:t>基线</w:t>
              <w:br/>
              <w:t>预填充延时</w:t>
            </w:r>
          </w:p>
        </w:tc>
        <w:tc>
          <w:tcPr>
            <w:tcW w:type="dxa" w:w="1242"/>
          </w:tcPr>
          <w:p>
            <w:r>
              <w:rPr>
                <w:b/>
                <w:sz w:val="18"/>
              </w:rPr>
              <w:t>基线</w:t>
              <w:br/>
              <w:t>峰值显存</w:t>
            </w:r>
          </w:p>
        </w:tc>
        <w:tc>
          <w:tcPr>
            <w:tcW w:type="dxa" w:w="1242"/>
          </w:tcPr>
          <w:p>
            <w:r>
              <w:rPr>
                <w:b/>
                <w:sz w:val="18"/>
              </w:rPr>
              <w:t>基线</w:t>
              <w:br/>
              <w:t>KV缓存</w:t>
            </w:r>
          </w:p>
        </w:tc>
        <w:tc>
          <w:tcPr>
            <w:tcW w:type="dxa" w:w="1242"/>
          </w:tcPr>
          <w:p>
            <w:r>
              <w:rPr>
                <w:b/>
                <w:sz w:val="18"/>
              </w:rPr>
              <w:t>本发明</w:t>
              <w:br/>
              <w:t>预填充延时</w:t>
            </w:r>
          </w:p>
        </w:tc>
        <w:tc>
          <w:tcPr>
            <w:tcW w:type="dxa" w:w="1242"/>
          </w:tcPr>
          <w:p>
            <w:r>
              <w:rPr>
                <w:b/>
                <w:sz w:val="18"/>
              </w:rPr>
              <w:t>本发明</w:t>
              <w:br/>
              <w:t>峰值显存</w:t>
            </w:r>
          </w:p>
        </w:tc>
        <w:tc>
          <w:tcPr>
            <w:tcW w:type="dxa" w:w="1242"/>
          </w:tcPr>
          <w:p>
            <w:r>
              <w:rPr>
                <w:b/>
                <w:sz w:val="18"/>
              </w:rPr>
              <w:t>本发明</w:t>
              <w:br/>
              <w:t>持久状态</w:t>
            </w:r>
          </w:p>
        </w:tc>
      </w:tr>
      <w:tr>
        <w:tc>
          <w:tcPr>
            <w:tcW w:type="dxa" w:w="1242"/>
          </w:tcPr>
          <w:p>
            <w:r>
              <w:rPr>
                <w:sz w:val="18"/>
              </w:rPr>
              <w:t>1,024</w:t>
            </w:r>
          </w:p>
        </w:tc>
        <w:tc>
          <w:tcPr>
            <w:tcW w:type="dxa" w:w="1242"/>
          </w:tcPr>
          <w:p>
            <w:r>
              <w:rPr>
                <w:sz w:val="18"/>
              </w:rPr>
              <w:t>19.2</w:t>
            </w:r>
          </w:p>
        </w:tc>
        <w:tc>
          <w:tcPr>
            <w:tcW w:type="dxa" w:w="1242"/>
          </w:tcPr>
          <w:p>
            <w:r>
              <w:rPr>
                <w:sz w:val="18"/>
              </w:rPr>
              <w:t>1.35</w:t>
            </w:r>
          </w:p>
        </w:tc>
        <w:tc>
          <w:tcPr>
            <w:tcW w:type="dxa" w:w="1242"/>
          </w:tcPr>
          <w:p>
            <w:r>
              <w:rPr>
                <w:sz w:val="18"/>
              </w:rPr>
              <w:t>168</w:t>
            </w:r>
          </w:p>
        </w:tc>
        <w:tc>
          <w:tcPr>
            <w:tcW w:type="dxa" w:w="1242"/>
          </w:tcPr>
          <w:p>
            <w:r>
              <w:rPr>
                <w:sz w:val="18"/>
              </w:rPr>
              <w:t>22.9</w:t>
            </w:r>
          </w:p>
        </w:tc>
        <w:tc>
          <w:tcPr>
            <w:tcW w:type="dxa" w:w="1242"/>
          </w:tcPr>
          <w:p>
            <w:r>
              <w:rPr>
                <w:sz w:val="18"/>
              </w:rPr>
              <w:t>1.63</w:t>
            </w:r>
          </w:p>
        </w:tc>
        <w:tc>
          <w:tcPr>
            <w:tcW w:type="dxa" w:w="1242"/>
          </w:tcPr>
          <w:p>
            <w:r>
              <w:rPr>
                <w:sz w:val="18"/>
              </w:rPr>
              <w:t>56</w:t>
            </w:r>
          </w:p>
        </w:tc>
      </w:tr>
      <w:tr>
        <w:tc>
          <w:tcPr>
            <w:tcW w:type="dxa" w:w="1242"/>
          </w:tcPr>
          <w:p>
            <w:r>
              <w:rPr>
                <w:sz w:val="18"/>
              </w:rPr>
              <w:t>2,048</w:t>
            </w:r>
          </w:p>
        </w:tc>
        <w:tc>
          <w:tcPr>
            <w:tcW w:type="dxa" w:w="1242"/>
          </w:tcPr>
          <w:p>
            <w:r>
              <w:rPr>
                <w:sz w:val="18"/>
              </w:rPr>
              <w:t>23.2</w:t>
            </w:r>
          </w:p>
        </w:tc>
        <w:tc>
          <w:tcPr>
            <w:tcW w:type="dxa" w:w="1242"/>
          </w:tcPr>
          <w:p>
            <w:r>
              <w:rPr>
                <w:sz w:val="18"/>
              </w:rPr>
              <w:t>1.48</w:t>
            </w:r>
          </w:p>
        </w:tc>
        <w:tc>
          <w:tcPr>
            <w:tcW w:type="dxa" w:w="1242"/>
          </w:tcPr>
          <w:p>
            <w:r>
              <w:rPr>
                <w:sz w:val="18"/>
              </w:rPr>
              <w:t>280</w:t>
            </w:r>
          </w:p>
        </w:tc>
        <w:tc>
          <w:tcPr>
            <w:tcW w:type="dxa" w:w="1242"/>
          </w:tcPr>
          <w:p>
            <w:r>
              <w:rPr>
                <w:sz w:val="18"/>
              </w:rPr>
              <w:t>22.9</w:t>
            </w:r>
          </w:p>
        </w:tc>
        <w:tc>
          <w:tcPr>
            <w:tcW w:type="dxa" w:w="1242"/>
          </w:tcPr>
          <w:p>
            <w:r>
              <w:rPr>
                <w:sz w:val="18"/>
              </w:rPr>
              <w:t>1.63</w:t>
            </w:r>
          </w:p>
        </w:tc>
        <w:tc>
          <w:tcPr>
            <w:tcW w:type="dxa" w:w="1242"/>
          </w:tcPr>
          <w:p>
            <w:r>
              <w:rPr>
                <w:sz w:val="18"/>
              </w:rPr>
              <w:t>56</w:t>
            </w:r>
          </w:p>
        </w:tc>
      </w:tr>
      <w:tr>
        <w:tc>
          <w:tcPr>
            <w:tcW w:type="dxa" w:w="1242"/>
          </w:tcPr>
          <w:p>
            <w:r>
              <w:rPr>
                <w:sz w:val="18"/>
              </w:rPr>
              <w:t>4,096</w:t>
            </w:r>
          </w:p>
        </w:tc>
        <w:tc>
          <w:tcPr>
            <w:tcW w:type="dxa" w:w="1242"/>
          </w:tcPr>
          <w:p>
            <w:r>
              <w:rPr>
                <w:sz w:val="18"/>
              </w:rPr>
              <w:t>41.7</w:t>
            </w:r>
          </w:p>
        </w:tc>
        <w:tc>
          <w:tcPr>
            <w:tcW w:type="dxa" w:w="1242"/>
          </w:tcPr>
          <w:p>
            <w:r>
              <w:rPr>
                <w:sz w:val="18"/>
              </w:rPr>
              <w:t>1.75</w:t>
            </w:r>
          </w:p>
        </w:tc>
        <w:tc>
          <w:tcPr>
            <w:tcW w:type="dxa" w:w="1242"/>
          </w:tcPr>
          <w:p>
            <w:r>
              <w:rPr>
                <w:sz w:val="18"/>
              </w:rPr>
              <w:t>504</w:t>
            </w:r>
          </w:p>
        </w:tc>
        <w:tc>
          <w:tcPr>
            <w:tcW w:type="dxa" w:w="1242"/>
          </w:tcPr>
          <w:p>
            <w:r>
              <w:rPr>
                <w:sz w:val="18"/>
              </w:rPr>
              <w:t>22.8</w:t>
            </w:r>
          </w:p>
        </w:tc>
        <w:tc>
          <w:tcPr>
            <w:tcW w:type="dxa" w:w="1242"/>
          </w:tcPr>
          <w:p>
            <w:r>
              <w:rPr>
                <w:sz w:val="18"/>
              </w:rPr>
              <w:t>1.63</w:t>
            </w:r>
          </w:p>
        </w:tc>
        <w:tc>
          <w:tcPr>
            <w:tcW w:type="dxa" w:w="1242"/>
          </w:tcPr>
          <w:p>
            <w:r>
              <w:rPr>
                <w:sz w:val="18"/>
              </w:rPr>
              <w:t>56</w:t>
            </w:r>
          </w:p>
        </w:tc>
      </w:tr>
      <w:tr>
        <w:tc>
          <w:tcPr>
            <w:tcW w:type="dxa" w:w="1242"/>
          </w:tcPr>
          <w:p>
            <w:r>
              <w:rPr>
                <w:sz w:val="18"/>
              </w:rPr>
              <w:t>8,192</w:t>
            </w:r>
          </w:p>
        </w:tc>
        <w:tc>
          <w:tcPr>
            <w:tcW w:type="dxa" w:w="1242"/>
          </w:tcPr>
          <w:p>
            <w:r>
              <w:rPr>
                <w:sz w:val="18"/>
              </w:rPr>
              <w:t>94.5</w:t>
            </w:r>
          </w:p>
        </w:tc>
        <w:tc>
          <w:tcPr>
            <w:tcW w:type="dxa" w:w="1242"/>
          </w:tcPr>
          <w:p>
            <w:r>
              <w:rPr>
                <w:sz w:val="18"/>
              </w:rPr>
              <w:t>2.29</w:t>
            </w:r>
          </w:p>
        </w:tc>
        <w:tc>
          <w:tcPr>
            <w:tcW w:type="dxa" w:w="1242"/>
          </w:tcPr>
          <w:p>
            <w:r>
              <w:rPr>
                <w:sz w:val="18"/>
              </w:rPr>
              <w:t>952</w:t>
            </w:r>
          </w:p>
        </w:tc>
        <w:tc>
          <w:tcPr>
            <w:tcW w:type="dxa" w:w="1242"/>
          </w:tcPr>
          <w:p>
            <w:r>
              <w:rPr>
                <w:sz w:val="18"/>
              </w:rPr>
              <w:t>22.8</w:t>
            </w:r>
          </w:p>
        </w:tc>
        <w:tc>
          <w:tcPr>
            <w:tcW w:type="dxa" w:w="1242"/>
          </w:tcPr>
          <w:p>
            <w:r>
              <w:rPr>
                <w:sz w:val="18"/>
              </w:rPr>
              <w:t>1.63</w:t>
            </w:r>
          </w:p>
        </w:tc>
        <w:tc>
          <w:tcPr>
            <w:tcW w:type="dxa" w:w="1242"/>
          </w:tcPr>
          <w:p>
            <w:r>
              <w:rPr>
                <w:sz w:val="18"/>
              </w:rPr>
              <w:t>56</w:t>
            </w:r>
          </w:p>
        </w:tc>
      </w:tr>
      <w:tr>
        <w:tc>
          <w:tcPr>
            <w:tcW w:type="dxa" w:w="1242"/>
          </w:tcPr>
          <w:p>
            <w:r>
              <w:rPr>
                <w:sz w:val="18"/>
              </w:rPr>
              <w:t>16,384</w:t>
            </w:r>
          </w:p>
        </w:tc>
        <w:tc>
          <w:tcPr>
            <w:tcW w:type="dxa" w:w="1242"/>
          </w:tcPr>
          <w:p>
            <w:r>
              <w:rPr>
                <w:sz w:val="18"/>
              </w:rPr>
              <w:t>243.3</w:t>
            </w:r>
          </w:p>
        </w:tc>
        <w:tc>
          <w:tcPr>
            <w:tcW w:type="dxa" w:w="1242"/>
          </w:tcPr>
          <w:p>
            <w:r>
              <w:rPr>
                <w:sz w:val="18"/>
              </w:rPr>
              <w:t>3.38</w:t>
            </w:r>
          </w:p>
        </w:tc>
        <w:tc>
          <w:tcPr>
            <w:tcW w:type="dxa" w:w="1242"/>
          </w:tcPr>
          <w:p>
            <w:r>
              <w:rPr>
                <w:sz w:val="18"/>
              </w:rPr>
              <w:t>1,848</w:t>
            </w:r>
          </w:p>
        </w:tc>
        <w:tc>
          <w:tcPr>
            <w:tcW w:type="dxa" w:w="1242"/>
          </w:tcPr>
          <w:p>
            <w:r>
              <w:rPr>
                <w:sz w:val="18"/>
              </w:rPr>
              <w:t>22.8</w:t>
            </w:r>
          </w:p>
        </w:tc>
        <w:tc>
          <w:tcPr>
            <w:tcW w:type="dxa" w:w="1242"/>
          </w:tcPr>
          <w:p>
            <w:r>
              <w:rPr>
                <w:sz w:val="18"/>
              </w:rPr>
              <w:t>1.63</w:t>
            </w:r>
          </w:p>
        </w:tc>
        <w:tc>
          <w:tcPr>
            <w:tcW w:type="dxa" w:w="1242"/>
          </w:tcPr>
          <w:p>
            <w:r>
              <w:rPr>
                <w:sz w:val="18"/>
              </w:rPr>
              <w:t>56</w:t>
            </w:r>
          </w:p>
        </w:tc>
      </w:tr>
      <w:tr>
        <w:tc>
          <w:tcPr>
            <w:tcW w:type="dxa" w:w="1242"/>
          </w:tcPr>
          <w:p>
            <w:r>
              <w:rPr>
                <w:sz w:val="18"/>
              </w:rPr>
              <w:t>32,768</w:t>
            </w:r>
          </w:p>
        </w:tc>
        <w:tc>
          <w:tcPr>
            <w:tcW w:type="dxa" w:w="1242"/>
          </w:tcPr>
          <w:p>
            <w:r>
              <w:rPr>
                <w:sz w:val="18"/>
              </w:rPr>
              <w:t>718.9</w:t>
            </w:r>
          </w:p>
        </w:tc>
        <w:tc>
          <w:tcPr>
            <w:tcW w:type="dxa" w:w="1242"/>
          </w:tcPr>
          <w:p>
            <w:r>
              <w:rPr>
                <w:sz w:val="18"/>
              </w:rPr>
              <w:t>5.54</w:t>
            </w:r>
          </w:p>
        </w:tc>
        <w:tc>
          <w:tcPr>
            <w:tcW w:type="dxa" w:w="1242"/>
          </w:tcPr>
          <w:p>
            <w:r>
              <w:rPr>
                <w:sz w:val="18"/>
              </w:rPr>
              <w:t>3,640</w:t>
            </w:r>
          </w:p>
        </w:tc>
        <w:tc>
          <w:tcPr>
            <w:tcW w:type="dxa" w:w="1242"/>
          </w:tcPr>
          <w:p>
            <w:r>
              <w:rPr>
                <w:sz w:val="18"/>
              </w:rPr>
              <w:t>22.8</w:t>
            </w:r>
          </w:p>
        </w:tc>
        <w:tc>
          <w:tcPr>
            <w:tcW w:type="dxa" w:w="1242"/>
          </w:tcPr>
          <w:p>
            <w:r>
              <w:rPr>
                <w:sz w:val="18"/>
              </w:rPr>
              <w:t>1.63</w:t>
            </w:r>
          </w:p>
        </w:tc>
        <w:tc>
          <w:tcPr>
            <w:tcW w:type="dxa" w:w="1242"/>
          </w:tcPr>
          <w:p>
            <w:r>
              <w:rPr>
                <w:sz w:val="18"/>
              </w:rPr>
              <w:t>56</w:t>
            </w:r>
          </w:p>
        </w:tc>
      </w:tr>
    </w:tbl>
    <w:p>
      <w:r>
        <w:rPr>
          <w:b w:val="0"/>
        </w:rPr>
      </w:r>
    </w:p>
    <w:p>
      <w:r>
        <w:rPr>
          <w:b w:val="0"/>
        </w:rPr>
        <w:t>实验结果：基线方案的预填充延时随 H 超线性增长（H 从 1,024 增至 32,768 时由 19.2ms 增至 718.9ms，约 37 倍），峰值显存由 1.35GiB 增至 5.54GiB，KV 缓存由 168MiB 线性增至 3,640MiB。本发明的预填充延时（约 22.8ms）、峰值显存（1.63GiB）与持久状态（约 56MiB）在全部 H 取值下保持恒定，与历史长度完全无关；会话结束时的一次性写入开销亦恒定（约 8.2ms/会话）。每用户需要长期保存的记忆仅为 M_c 矩阵本身（bf16 精度下 256KB），而基线在 H=32,768 时仅 KV 缓存即需约 3.6GB，相差约四个数量级。上述结果直接验证了“发明内容”所述技术效果 1。</w:t>
      </w:r>
    </w:p>
    <w:p>
      <w:r>
        <w:rPr>
          <w:b/>
        </w:rPr>
        <w:t>实验二：记忆召回质量的量化对比（与“检索增强生成（RAG）”方案对比）</w:t>
      </w:r>
    </w:p>
    <w:p>
      <w:r>
        <w:rPr>
          <w:b w:val="0"/>
        </w:rPr>
        <w:t>实验设置：RAG 基线将全部历史会话存入检索库，推理时以回调会话为查询检索 top-k 个历史会话并以原文拼入上下文，检索器分别采用（a）BM25 词法检索、（b）稠密向量检索（all-MiniLM-L6-v2 嵌入模型），并另设（c）“理想检索（oracle）”参照——直接将人工标注的证据会话拼入上下文；该参照仅代表本实验所用“检索-原文拼接”式 RAG 设置在检索器理想化（检准率 100%）时的表现上限，并非一切检索增强方案的理论上界。RAG 的语言模型本体与本发明相同且同样冻结。评测同一验证集上的回调交叉熵改善 Δ。结果如表 2 与图 3 所示。</w:t>
      </w:r>
    </w:p>
    <w:p>
      <w:r>
        <w:rPr>
          <w:b w:val="0"/>
        </w:rPr>
        <w:t>表 2  与 RAG 方案的回调交叉熵改善 Δ 对比（nats，越大越好）</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73"/>
        <w:gridCol w:w="2173"/>
        <w:gridCol w:w="2173"/>
        <w:gridCol w:w="2173"/>
      </w:tblGrid>
      <w:tr>
        <w:tc>
          <w:tcPr>
            <w:tcW w:type="dxa" w:w="2173"/>
          </w:tcPr>
          <w:p>
            <w:r>
              <w:rPr>
                <w:b/>
                <w:sz w:val="18"/>
              </w:rPr>
              <w:t>方法</w:t>
            </w:r>
          </w:p>
        </w:tc>
        <w:tc>
          <w:tcPr>
            <w:tcW w:type="dxa" w:w="2173"/>
          </w:tcPr>
          <w:p>
            <w:r>
              <w:rPr>
                <w:b/>
                <w:sz w:val="18"/>
              </w:rPr>
              <w:t>额外上下文</w:t>
              <w:br/>
              <w:t>token 数</w:t>
            </w:r>
          </w:p>
        </w:tc>
        <w:tc>
          <w:tcPr>
            <w:tcW w:type="dxa" w:w="2173"/>
          </w:tcPr>
          <w:p>
            <w:r>
              <w:rPr>
                <w:b/>
                <w:sz w:val="18"/>
              </w:rPr>
              <w:t>Δ（0.6B）</w:t>
            </w:r>
          </w:p>
        </w:tc>
        <w:tc>
          <w:tcPr>
            <w:tcW w:type="dxa" w:w="2173"/>
          </w:tcPr>
          <w:p>
            <w:r>
              <w:rPr>
                <w:b/>
                <w:sz w:val="18"/>
              </w:rPr>
              <w:t>Δ（1.7B）</w:t>
            </w:r>
          </w:p>
        </w:tc>
      </w:tr>
      <w:tr>
        <w:tc>
          <w:tcPr>
            <w:tcW w:type="dxa" w:w="2173"/>
          </w:tcPr>
          <w:p>
            <w:r>
              <w:rPr>
                <w:sz w:val="18"/>
              </w:rPr>
              <w:t>无记忆基线</w:t>
            </w:r>
          </w:p>
        </w:tc>
        <w:tc>
          <w:tcPr>
            <w:tcW w:type="dxa" w:w="2173"/>
          </w:tcPr>
          <w:p>
            <w:r>
              <w:rPr>
                <w:sz w:val="18"/>
              </w:rPr>
              <w:t>0</w:t>
            </w:r>
          </w:p>
        </w:tc>
        <w:tc>
          <w:tcPr>
            <w:tcW w:type="dxa" w:w="2173"/>
          </w:tcPr>
          <w:p>
            <w:r>
              <w:rPr>
                <w:sz w:val="18"/>
              </w:rPr>
              <w:t>0（参照）</w:t>
            </w:r>
          </w:p>
        </w:tc>
        <w:tc>
          <w:tcPr>
            <w:tcW w:type="dxa" w:w="2173"/>
          </w:tcPr>
          <w:p>
            <w:r>
              <w:rPr>
                <w:sz w:val="18"/>
              </w:rPr>
              <w:t>0（参照）</w:t>
            </w:r>
          </w:p>
        </w:tc>
      </w:tr>
      <w:tr>
        <w:tc>
          <w:tcPr>
            <w:tcW w:type="dxa" w:w="2173"/>
          </w:tcPr>
          <w:p>
            <w:r>
              <w:rPr>
                <w:sz w:val="18"/>
              </w:rPr>
              <w:t>RAG（BM25 top-1）</w:t>
            </w:r>
          </w:p>
        </w:tc>
        <w:tc>
          <w:tcPr>
            <w:tcW w:type="dxa" w:w="2173"/>
          </w:tcPr>
          <w:p>
            <w:r>
              <w:rPr>
                <w:sz w:val="18"/>
              </w:rPr>
              <w:t>512</w:t>
            </w:r>
          </w:p>
        </w:tc>
        <w:tc>
          <w:tcPr>
            <w:tcW w:type="dxa" w:w="2173"/>
          </w:tcPr>
          <w:p>
            <w:r>
              <w:rPr>
                <w:sz w:val="18"/>
              </w:rPr>
              <w:t>+0.033</w:t>
            </w:r>
          </w:p>
        </w:tc>
        <w:tc>
          <w:tcPr>
            <w:tcW w:type="dxa" w:w="2173"/>
          </w:tcPr>
          <w:p>
            <w:r>
              <w:rPr>
                <w:sz w:val="18"/>
              </w:rPr>
              <w:t>—</w:t>
            </w:r>
          </w:p>
        </w:tc>
      </w:tr>
      <w:tr>
        <w:tc>
          <w:tcPr>
            <w:tcW w:type="dxa" w:w="2173"/>
          </w:tcPr>
          <w:p>
            <w:r>
              <w:rPr>
                <w:sz w:val="18"/>
              </w:rPr>
              <w:t>RAG（BM25 top-3）</w:t>
            </w:r>
          </w:p>
        </w:tc>
        <w:tc>
          <w:tcPr>
            <w:tcW w:type="dxa" w:w="2173"/>
          </w:tcPr>
          <w:p>
            <w:r>
              <w:rPr>
                <w:sz w:val="18"/>
              </w:rPr>
              <w:t>1,536</w:t>
            </w:r>
          </w:p>
        </w:tc>
        <w:tc>
          <w:tcPr>
            <w:tcW w:type="dxa" w:w="2173"/>
          </w:tcPr>
          <w:p>
            <w:r>
              <w:rPr>
                <w:sz w:val="18"/>
              </w:rPr>
              <w:t>-0.012</w:t>
            </w:r>
          </w:p>
        </w:tc>
        <w:tc>
          <w:tcPr>
            <w:tcW w:type="dxa" w:w="2173"/>
          </w:tcPr>
          <w:p>
            <w:r>
              <w:rPr>
                <w:sz w:val="18"/>
              </w:rPr>
              <w:t>+0.253</w:t>
            </w:r>
          </w:p>
        </w:tc>
      </w:tr>
      <w:tr>
        <w:tc>
          <w:tcPr>
            <w:tcW w:type="dxa" w:w="2173"/>
          </w:tcPr>
          <w:p>
            <w:r>
              <w:rPr>
                <w:sz w:val="18"/>
              </w:rPr>
              <w:t>RAG（稠密检索 top-1）</w:t>
            </w:r>
          </w:p>
        </w:tc>
        <w:tc>
          <w:tcPr>
            <w:tcW w:type="dxa" w:w="2173"/>
          </w:tcPr>
          <w:p>
            <w:r>
              <w:rPr>
                <w:sz w:val="18"/>
              </w:rPr>
              <w:t>512</w:t>
            </w:r>
          </w:p>
        </w:tc>
        <w:tc>
          <w:tcPr>
            <w:tcW w:type="dxa" w:w="2173"/>
          </w:tcPr>
          <w:p>
            <w:r>
              <w:rPr>
                <w:sz w:val="18"/>
              </w:rPr>
              <w:t>-0.016</w:t>
            </w:r>
          </w:p>
        </w:tc>
        <w:tc>
          <w:tcPr>
            <w:tcW w:type="dxa" w:w="2173"/>
          </w:tcPr>
          <w:p>
            <w:r>
              <w:rPr>
                <w:sz w:val="18"/>
              </w:rPr>
              <w:t>—</w:t>
            </w:r>
          </w:p>
        </w:tc>
      </w:tr>
      <w:tr>
        <w:tc>
          <w:tcPr>
            <w:tcW w:type="dxa" w:w="2173"/>
          </w:tcPr>
          <w:p>
            <w:r>
              <w:rPr>
                <w:sz w:val="18"/>
              </w:rPr>
              <w:t>RAG（稠密检索 top-3）</w:t>
            </w:r>
          </w:p>
        </w:tc>
        <w:tc>
          <w:tcPr>
            <w:tcW w:type="dxa" w:w="2173"/>
          </w:tcPr>
          <w:p>
            <w:r>
              <w:rPr>
                <w:sz w:val="18"/>
              </w:rPr>
              <w:t>1,536</w:t>
            </w:r>
          </w:p>
        </w:tc>
        <w:tc>
          <w:tcPr>
            <w:tcW w:type="dxa" w:w="2173"/>
          </w:tcPr>
          <w:p>
            <w:r>
              <w:rPr>
                <w:sz w:val="18"/>
              </w:rPr>
              <w:t>+0.048</w:t>
            </w:r>
          </w:p>
        </w:tc>
        <w:tc>
          <w:tcPr>
            <w:tcW w:type="dxa" w:w="2173"/>
          </w:tcPr>
          <w:p>
            <w:r>
              <w:rPr>
                <w:sz w:val="18"/>
              </w:rPr>
              <w:t>+0.035</w:t>
            </w:r>
          </w:p>
        </w:tc>
      </w:tr>
      <w:tr>
        <w:tc>
          <w:tcPr>
            <w:tcW w:type="dxa" w:w="2173"/>
          </w:tcPr>
          <w:p>
            <w:r>
              <w:rPr>
                <w:sz w:val="18"/>
              </w:rPr>
              <w:t>RAG（理想检索 top-3，参照）</w:t>
            </w:r>
          </w:p>
        </w:tc>
        <w:tc>
          <w:tcPr>
            <w:tcW w:type="dxa" w:w="2173"/>
          </w:tcPr>
          <w:p>
            <w:r>
              <w:rPr>
                <w:sz w:val="18"/>
              </w:rPr>
              <w:t>≈809</w:t>
            </w:r>
          </w:p>
        </w:tc>
        <w:tc>
          <w:tcPr>
            <w:tcW w:type="dxa" w:w="2173"/>
          </w:tcPr>
          <w:p>
            <w:r>
              <w:rPr>
                <w:sz w:val="18"/>
              </w:rPr>
              <w:t>+0.111</w:t>
            </w:r>
          </w:p>
        </w:tc>
        <w:tc>
          <w:tcPr>
            <w:tcW w:type="dxa" w:w="2173"/>
          </w:tcPr>
          <w:p>
            <w:r>
              <w:rPr>
                <w:sz w:val="18"/>
              </w:rPr>
              <w:t>+0.388</w:t>
            </w:r>
          </w:p>
        </w:tc>
      </w:tr>
      <w:tr>
        <w:tc>
          <w:tcPr>
            <w:tcW w:type="dxa" w:w="2173"/>
          </w:tcPr>
          <w:p>
            <w:r>
              <w:rPr>
                <w:sz w:val="18"/>
              </w:rPr>
              <w:t>本发明（K=128，权利要求6实施方式）</w:t>
            </w:r>
          </w:p>
        </w:tc>
        <w:tc>
          <w:tcPr>
            <w:tcW w:type="dxa" w:w="2173"/>
          </w:tcPr>
          <w:p>
            <w:r>
              <w:rPr>
                <w:sz w:val="18"/>
              </w:rPr>
              <w:t>0</w:t>
            </w:r>
          </w:p>
        </w:tc>
        <w:tc>
          <w:tcPr>
            <w:tcW w:type="dxa" w:w="2173"/>
          </w:tcPr>
          <w:p>
            <w:r>
              <w:rPr>
                <w:sz w:val="18"/>
              </w:rPr>
              <w:t>+1.290±0.501（4种子）</w:t>
            </w:r>
          </w:p>
        </w:tc>
        <w:tc>
          <w:tcPr>
            <w:tcW w:type="dxa" w:w="2173"/>
          </w:tcPr>
          <w:p>
            <w:r>
              <w:rPr>
                <w:sz w:val="18"/>
              </w:rPr>
              <w:t>+0.973±0.106（3种子）</w:t>
            </w:r>
          </w:p>
        </w:tc>
      </w:tr>
      <w:tr>
        <w:tc>
          <w:tcPr>
            <w:tcW w:type="dxa" w:w="2173"/>
          </w:tcPr>
          <w:p>
            <w:r>
              <w:rPr>
                <w:sz w:val="18"/>
              </w:rPr>
              <w:t>本发明变体（单轮2K-softmax判定，权利要求10实施方式）</w:t>
            </w:r>
          </w:p>
        </w:tc>
        <w:tc>
          <w:tcPr>
            <w:tcW w:type="dxa" w:w="2173"/>
          </w:tcPr>
          <w:p>
            <w:r>
              <w:rPr>
                <w:sz w:val="18"/>
              </w:rPr>
              <w:t>0</w:t>
            </w:r>
          </w:p>
        </w:tc>
        <w:tc>
          <w:tcPr>
            <w:tcW w:type="dxa" w:w="2173"/>
          </w:tcPr>
          <w:p>
            <w:r>
              <w:rPr>
                <w:sz w:val="18"/>
              </w:rPr>
              <w:t>+0.724±0.317（4种子）</w:t>
            </w:r>
          </w:p>
        </w:tc>
        <w:tc>
          <w:tcPr>
            <w:tcW w:type="dxa" w:w="2173"/>
          </w:tcPr>
          <w:p>
            <w:r>
              <w:rPr>
                <w:sz w:val="18"/>
              </w:rPr>
              <w:t>—</w:t>
            </w:r>
          </w:p>
        </w:tc>
      </w:tr>
    </w:tbl>
    <w:p>
      <w:r>
        <w:rPr>
          <w:b w:val="0"/>
        </w:rPr>
      </w:r>
    </w:p>
    <w:p>
      <w:r>
        <w:rPr>
          <w:b w:val="0"/>
        </w:rPr>
        <w:t>实验结果：0.6B 规模下，实际可部署的 RAG 变体最高仅取得 Δ=+0.048（稠密检索 top-3），即便“理想检索”参照亦仅 +0.111；本发明取得 Δ=+1.290±0.501，约为最优实际 RAG 变体的 27 倍、理想检索参照的 12 倍。1.7B 规模下本发明（+0.973±0.106）同样显著超过理想检索参照（+0.388）。以贪心精确匹配率度量时，本发明将回调 token 的逐位置命中率由 32.5%（无记忆）提升至 48.4%（记忆开启）。同时，RAG 每次推理需额外拼入数百至数千个检索 token，并依赖嵌入模型、向量库等外部基础设施；本发明额外 token 数为零，无任何外部检索组件。上述结果直接验证了“发明内容”所述技术效果 2。</w:t>
      </w:r>
    </w:p>
    <w:p>
      <w:r>
        <w:rPr>
          <w:b/>
        </w:rPr>
        <w:t>实验三：抗遗忘能力的量化对比（与“用户级微调”方案对比）</w:t>
      </w:r>
    </w:p>
    <w:p>
      <w:r>
        <w:rPr>
          <w:b w:val="0"/>
        </w:rPr>
        <w:t>实验设置：（a）本发明侧：对验证集 50 条链逐会话执行阶段二/阶段三的竞争式更新，每写入一个会话即测量一次回调交叉熵（回调 token 依赖链中较早会话的信息，故该指标同时度量“新信息采纳”与“旧信息保持”的综合效果）；（b）微调基线侧：模拟“按用户微调”的现有技术，对每条链（视为一名用户的历史）在同一 Qwen3-0.6B 本体上以 LoRA（秩 16，作用于全部注意力与前馈投影矩阵）进行持续微调，并扫过多种更新协议与学习率——包括顺序按会话更新与“联合离线”更新（将整链历史打乱后以相同总步数均匀采样，代表最强的每用户离线微调设定）。主对比采用 joint、lr=2e-05 的变体。同步测量（i）回调交叉熵与（ii）与微调域完全不同的域外通用文本（fineweb-edu 英文语料）上的交叉熵。结果如表 3 与图 4 所示。</w:t>
      </w:r>
    </w:p>
    <w:p>
      <w:r>
        <w:rPr>
          <w:b w:val="0"/>
        </w:rPr>
        <w:t>表 3  抗遗忘能力与更新代价对比（Qwen3-0.6B）</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97"/>
        <w:gridCol w:w="2897"/>
        <w:gridCol w:w="2897"/>
      </w:tblGrid>
      <w:tr>
        <w:tc>
          <w:tcPr>
            <w:tcW w:type="dxa" w:w="2897"/>
          </w:tcPr>
          <w:p>
            <w:r>
              <w:rPr>
                <w:b/>
                <w:sz w:val="18"/>
              </w:rPr>
              <w:t>对比项</w:t>
            </w:r>
          </w:p>
        </w:tc>
        <w:tc>
          <w:tcPr>
            <w:tcW w:type="dxa" w:w="2897"/>
          </w:tcPr>
          <w:p>
            <w:r>
              <w:rPr>
                <w:b/>
                <w:sz w:val="18"/>
              </w:rPr>
              <w:t>本发明</w:t>
            </w:r>
          </w:p>
        </w:tc>
        <w:tc>
          <w:tcPr>
            <w:tcW w:type="dxa" w:w="2897"/>
          </w:tcPr>
          <w:p>
            <w:r>
              <w:rPr>
                <w:b/>
                <w:sz w:val="18"/>
              </w:rPr>
              <w:t>用户级 LoRA 微调</w:t>
            </w:r>
          </w:p>
        </w:tc>
      </w:tr>
      <w:tr>
        <w:tc>
          <w:tcPr>
            <w:tcW w:type="dxa" w:w="2897"/>
          </w:tcPr>
          <w:p>
            <w:r>
              <w:rPr>
                <w:sz w:val="18"/>
              </w:rPr>
              <w:t>回调交叉熵变化（整链持续更新后，越低越好）</w:t>
            </w:r>
          </w:p>
        </w:tc>
        <w:tc>
          <w:tcPr>
            <w:tcW w:type="dxa" w:w="2897"/>
          </w:tcPr>
          <w:p>
            <w:r>
              <w:rPr>
                <w:sz w:val="18"/>
              </w:rPr>
              <w:t>-1.739 nats（50链平均，持续改善）</w:t>
            </w:r>
          </w:p>
        </w:tc>
        <w:tc>
          <w:tcPr>
            <w:tcW w:type="dxa" w:w="2897"/>
          </w:tcPr>
          <w:p>
            <w:r>
              <w:rPr>
                <w:sz w:val="18"/>
              </w:rPr>
              <w:t>+0.689 nats（8链平均）</w:t>
            </w:r>
          </w:p>
        </w:tc>
      </w:tr>
      <w:tr>
        <w:tc>
          <w:tcPr>
            <w:tcW w:type="dxa" w:w="2897"/>
          </w:tcPr>
          <w:p>
            <w:r>
              <w:rPr>
                <w:sz w:val="18"/>
              </w:rPr>
              <w:t>持续更新中旧信息是否回退</w:t>
            </w:r>
          </w:p>
        </w:tc>
        <w:tc>
          <w:tcPr>
            <w:tcW w:type="dxa" w:w="2897"/>
          </w:tcPr>
          <w:p>
            <w:r>
              <w:rPr>
                <w:sz w:val="18"/>
              </w:rPr>
              <w:t>无（改善随写入单调积累，见图4(a)）</w:t>
            </w:r>
          </w:p>
        </w:tc>
        <w:tc>
          <w:tcPr>
            <w:tcW w:type="dxa" w:w="2897"/>
          </w:tcPr>
          <w:p>
            <w:r>
              <w:rPr>
                <w:sz w:val="18"/>
              </w:rPr>
              <w:t>有（后续会话的参数更新冲刷早期信息）</w:t>
            </w:r>
          </w:p>
        </w:tc>
      </w:tr>
      <w:tr>
        <w:tc>
          <w:tcPr>
            <w:tcW w:type="dxa" w:w="2897"/>
          </w:tcPr>
          <w:p>
            <w:r>
              <w:rPr>
                <w:sz w:val="18"/>
              </w:rPr>
              <w:t>域外通用能力漂移（灾难性遗忘）</w:t>
            </w:r>
          </w:p>
        </w:tc>
        <w:tc>
          <w:tcPr>
            <w:tcW w:type="dxa" w:w="2897"/>
          </w:tcPr>
          <w:p>
            <w:r>
              <w:rPr>
                <w:sz w:val="18"/>
              </w:rPr>
              <w:t>严格为 0（本体参数冻结且未被修改）</w:t>
            </w:r>
          </w:p>
        </w:tc>
        <w:tc>
          <w:tcPr>
            <w:tcW w:type="dxa" w:w="2897"/>
          </w:tcPr>
          <w:p>
            <w:r>
              <w:rPr>
                <w:sz w:val="18"/>
              </w:rPr>
              <w:t>+0.039 nats（见图4(b)）</w:t>
            </w:r>
          </w:p>
        </w:tc>
      </w:tr>
      <w:tr>
        <w:tc>
          <w:tcPr>
            <w:tcW w:type="dxa" w:w="2897"/>
          </w:tcPr>
          <w:p>
            <w:r>
              <w:rPr>
                <w:sz w:val="18"/>
              </w:rPr>
              <w:t>每用户持久存储</w:t>
            </w:r>
          </w:p>
        </w:tc>
        <w:tc>
          <w:tcPr>
            <w:tcW w:type="dxa" w:w="2897"/>
          </w:tcPr>
          <w:p>
            <w:r>
              <w:rPr>
                <w:sz w:val="18"/>
              </w:rPr>
              <w:t>256 KB（仅 M_c）</w:t>
            </w:r>
          </w:p>
        </w:tc>
        <w:tc>
          <w:tcPr>
            <w:tcW w:type="dxa" w:w="2897"/>
          </w:tcPr>
          <w:p>
            <w:r>
              <w:rPr>
                <w:sz w:val="18"/>
              </w:rPr>
              <w:t>38.5 MB（LoRA 适配器）</w:t>
            </w:r>
          </w:p>
        </w:tc>
      </w:tr>
      <w:tr>
        <w:tc>
          <w:tcPr>
            <w:tcW w:type="dxa" w:w="2897"/>
          </w:tcPr>
          <w:p>
            <w:r>
              <w:rPr>
                <w:sz w:val="18"/>
              </w:rPr>
              <w:t>每会话更新开销</w:t>
            </w:r>
          </w:p>
        </w:tc>
        <w:tc>
          <w:tcPr>
            <w:tcW w:type="dxa" w:w="2897"/>
          </w:tcPr>
          <w:p>
            <w:r>
              <w:rPr>
                <w:sz w:val="18"/>
              </w:rPr>
              <w:t>1 次前向写入，约 8.2 ms</w:t>
            </w:r>
          </w:p>
        </w:tc>
        <w:tc>
          <w:tcPr>
            <w:tcW w:type="dxa" w:w="2897"/>
          </w:tcPr>
          <w:p>
            <w:r>
              <w:rPr>
                <w:sz w:val="18"/>
              </w:rPr>
              <w:t>多步反向传播梯度更新</w:t>
            </w:r>
          </w:p>
        </w:tc>
      </w:tr>
      <w:tr>
        <w:tc>
          <w:tcPr>
            <w:tcW w:type="dxa" w:w="2897"/>
          </w:tcPr>
          <w:p>
            <w:r>
              <w:rPr>
                <w:sz w:val="18"/>
              </w:rPr>
              <w:t>是否修改语言模型本体参数</w:t>
            </w:r>
          </w:p>
        </w:tc>
        <w:tc>
          <w:tcPr>
            <w:tcW w:type="dxa" w:w="2897"/>
          </w:tcPr>
          <w:p>
            <w:r>
              <w:rPr>
                <w:sz w:val="18"/>
              </w:rPr>
              <w:t>否</w:t>
            </w:r>
          </w:p>
        </w:tc>
        <w:tc>
          <w:tcPr>
            <w:tcW w:type="dxa" w:w="2897"/>
          </w:tcPr>
          <w:p>
            <w:r>
              <w:rPr>
                <w:sz w:val="18"/>
              </w:rPr>
              <w:t>是</w:t>
            </w:r>
          </w:p>
        </w:tc>
      </w:tr>
    </w:tbl>
    <w:p>
      <w:r>
        <w:rPr>
          <w:b w:val="0"/>
        </w:rPr>
      </w:r>
    </w:p>
    <w:p>
      <w:r>
        <w:rPr>
          <w:b w:val="0"/>
        </w:rPr>
        <w:t>实验结果：本发明在整链约 50 个会话的持续竞争式更新过程中，回调交叉熵持续下降、改善单调积累至 +1.739 nats（50 链平均，由 4.009 降至 2.270），已写入的信息在后续多达数十次竞争式更新后仍被保留；且因本体参数完全冻结，域外通用能力漂移严格为零。用户级 LoRA 微调基线（主对比：joint，lr=2e-05）在整链更新后回调交叉熵变化为 +0.689 nats，域外通用文本交叉熵上漂 +0.039 nats，表现出持续更新对早期信息与通用能力的双重损害；每用户需存储 38.5MB 适配器参数——为本发明每用户 256KB 记忆矩阵的约 154 倍，且每会话需多步反向传播（本发明仅需一次前向写入）。上述结果直接验证了“发明内容”所述技术效果 3。</w:t>
      </w:r>
    </w:p>
    <w:p>
      <w:r>
        <w:rPr>
          <w:b/>
        </w:rPr>
        <w:t>实验四：三阶段协同与关键组件的消融实验</w:t>
      </w:r>
    </w:p>
    <w:p>
      <w:r>
        <w:rPr>
          <w:b w:val="0"/>
        </w:rPr>
        <w:t>实验设置：为验证“三阶段方法的协同关系”一节所述“三个阶段构成不可分拆整体”的论断，以及阶段一内部关键设计选择的必要性，本实验分两层进行。第一层为从零训练的消融：在与完整方法完全相同的训练配方、数据与步数下，分别训练（a）完整方法；（b）读出精化深度 R=0（去掉阶段一的迭代读出）；（c）去掉深度路由 α-floor 辅助损失；（d）将阶段三的竞争式更新替换为“覆盖式”更新（每个新会话的候选矩阵直接覆盖旧记忆，无 2K 维零和竞争，从零训练）。第二层为评测时阶段消融：在完整方法训练好的检查点上，于推理时逐级关闭阶段，共享逐会话完全相同的阶段二提取输出。结果如表 4 与图 5 所示。</w:t>
      </w:r>
    </w:p>
    <w:p>
      <w:r>
        <w:rPr>
          <w:b w:val="0"/>
        </w:rPr>
        <w:t>表 4  消融实验：回调交叉熵改善 Δ（nats；0.6B）</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97"/>
        <w:gridCol w:w="2897"/>
        <w:gridCol w:w="2897"/>
      </w:tblGrid>
      <w:tr>
        <w:tc>
          <w:tcPr>
            <w:tcW w:type="dxa" w:w="2897"/>
          </w:tcPr>
          <w:p>
            <w:r>
              <w:rPr>
                <w:b/>
                <w:sz w:val="18"/>
              </w:rPr>
              <w:t>消融条件</w:t>
            </w:r>
          </w:p>
        </w:tc>
        <w:tc>
          <w:tcPr>
            <w:tcW w:type="dxa" w:w="2897"/>
          </w:tcPr>
          <w:p>
            <w:r>
              <w:rPr>
                <w:b/>
                <w:sz w:val="18"/>
              </w:rPr>
              <w:t>从零训练 Δ</w:t>
            </w:r>
          </w:p>
        </w:tc>
        <w:tc>
          <w:tcPr>
            <w:tcW w:type="dxa" w:w="2897"/>
          </w:tcPr>
          <w:p>
            <w:r>
              <w:rPr>
                <w:b/>
                <w:sz w:val="18"/>
              </w:rPr>
              <w:t>评测时消融 Δ</w:t>
            </w:r>
          </w:p>
        </w:tc>
      </w:tr>
      <w:tr>
        <w:tc>
          <w:tcPr>
            <w:tcW w:type="dxa" w:w="2897"/>
          </w:tcPr>
          <w:p>
            <w:r>
              <w:rPr>
                <w:sz w:val="18"/>
              </w:rPr>
              <w:t>完整方法（本发明）</w:t>
            </w:r>
          </w:p>
        </w:tc>
        <w:tc>
          <w:tcPr>
            <w:tcW w:type="dxa" w:w="2897"/>
          </w:tcPr>
          <w:p>
            <w:r>
              <w:rPr>
                <w:sz w:val="18"/>
              </w:rPr>
              <w:t>+1.323±0.530（n=4）</w:t>
            </w:r>
          </w:p>
        </w:tc>
        <w:tc>
          <w:tcPr>
            <w:tcW w:type="dxa" w:w="2897"/>
          </w:tcPr>
          <w:p>
            <w:r>
              <w:rPr>
                <w:sz w:val="18"/>
              </w:rPr>
              <w:t>+1.290±0.501</w:t>
            </w:r>
          </w:p>
        </w:tc>
      </w:tr>
      <w:tr>
        <w:tc>
          <w:tcPr>
            <w:tcW w:type="dxa" w:w="2897"/>
          </w:tcPr>
          <w:p>
            <w:r>
              <w:rPr>
                <w:sz w:val="18"/>
              </w:rPr>
              <w:t>从零训练：无读出精化（R=0）</w:t>
            </w:r>
          </w:p>
        </w:tc>
        <w:tc>
          <w:tcPr>
            <w:tcW w:type="dxa" w:w="2897"/>
          </w:tcPr>
          <w:p>
            <w:r>
              <w:rPr>
                <w:sz w:val="18"/>
              </w:rPr>
              <w:t>+0.049±0.025（n=4）</w:t>
            </w:r>
          </w:p>
        </w:tc>
        <w:tc>
          <w:tcPr>
            <w:tcW w:type="dxa" w:w="2897"/>
          </w:tcPr>
          <w:p>
            <w:r>
              <w:rPr>
                <w:sz w:val="18"/>
              </w:rPr>
              <w:t>—</w:t>
            </w:r>
          </w:p>
        </w:tc>
      </w:tr>
      <w:tr>
        <w:tc>
          <w:tcPr>
            <w:tcW w:type="dxa" w:w="2897"/>
          </w:tcPr>
          <w:p>
            <w:r>
              <w:rPr>
                <w:sz w:val="18"/>
              </w:rPr>
              <w:t>从零训练：无深度路由 α-floor</w:t>
            </w:r>
          </w:p>
        </w:tc>
        <w:tc>
          <w:tcPr>
            <w:tcW w:type="dxa" w:w="2897"/>
          </w:tcPr>
          <w:p>
            <w:r>
              <w:rPr>
                <w:sz w:val="18"/>
              </w:rPr>
              <w:t>+0.060±0.071（n=4）</w:t>
            </w:r>
          </w:p>
        </w:tc>
        <w:tc>
          <w:tcPr>
            <w:tcW w:type="dxa" w:w="2897"/>
          </w:tcPr>
          <w:p>
            <w:r>
              <w:rPr>
                <w:sz w:val="18"/>
              </w:rPr>
              <w:t>—</w:t>
            </w:r>
          </w:p>
        </w:tc>
      </w:tr>
      <w:tr>
        <w:tc>
          <w:tcPr>
            <w:tcW w:type="dxa" w:w="2897"/>
          </w:tcPr>
          <w:p>
            <w:r>
              <w:rPr>
                <w:sz w:val="18"/>
              </w:rPr>
              <w:t>从零训练：无竞争更新（覆盖式）</w:t>
            </w:r>
          </w:p>
        </w:tc>
        <w:tc>
          <w:tcPr>
            <w:tcW w:type="dxa" w:w="2897"/>
          </w:tcPr>
          <w:p>
            <w:r>
              <w:rPr>
                <w:sz w:val="18"/>
              </w:rPr>
              <w:t>+0.937（2种子）</w:t>
            </w:r>
          </w:p>
        </w:tc>
        <w:tc>
          <w:tcPr>
            <w:tcW w:type="dxa" w:w="2897"/>
          </w:tcPr>
          <w:p>
            <w:r>
              <w:rPr>
                <w:sz w:val="18"/>
              </w:rPr>
              <w:t>—</w:t>
            </w:r>
          </w:p>
        </w:tc>
      </w:tr>
      <w:tr>
        <w:tc>
          <w:tcPr>
            <w:tcW w:type="dxa" w:w="2897"/>
          </w:tcPr>
          <w:p>
            <w:r>
              <w:rPr>
                <w:sz w:val="18"/>
              </w:rPr>
              <w:t>评测时：仅阶段一（零记忆）</w:t>
            </w:r>
          </w:p>
        </w:tc>
        <w:tc>
          <w:tcPr>
            <w:tcW w:type="dxa" w:w="2897"/>
          </w:tcPr>
          <w:p>
            <w:r>
              <w:rPr>
                <w:sz w:val="18"/>
              </w:rPr>
              <w:t>—</w:t>
            </w:r>
          </w:p>
        </w:tc>
        <w:tc>
          <w:tcPr>
            <w:tcW w:type="dxa" w:w="2897"/>
          </w:tcPr>
          <w:p>
            <w:r>
              <w:rPr>
                <w:sz w:val="18"/>
              </w:rPr>
              <w:t>+0.049±0.042</w:t>
            </w:r>
          </w:p>
        </w:tc>
      </w:tr>
      <w:tr>
        <w:tc>
          <w:tcPr>
            <w:tcW w:type="dxa" w:w="2897"/>
          </w:tcPr>
          <w:p>
            <w:r>
              <w:rPr>
                <w:sz w:val="18"/>
              </w:rPr>
              <w:t>评测时：阶段一+二（覆盖式）</w:t>
            </w:r>
          </w:p>
        </w:tc>
        <w:tc>
          <w:tcPr>
            <w:tcW w:type="dxa" w:w="2897"/>
          </w:tcPr>
          <w:p>
            <w:r>
              <w:rPr>
                <w:sz w:val="18"/>
              </w:rPr>
              <w:t>—</w:t>
            </w:r>
          </w:p>
        </w:tc>
        <w:tc>
          <w:tcPr>
            <w:tcW w:type="dxa" w:w="2897"/>
          </w:tcPr>
          <w:p>
            <w:r>
              <w:rPr>
                <w:sz w:val="18"/>
              </w:rPr>
              <w:t>-0.073±0.015</w:t>
            </w:r>
          </w:p>
        </w:tc>
      </w:tr>
      <w:tr>
        <w:tc>
          <w:tcPr>
            <w:tcW w:type="dxa" w:w="2897"/>
          </w:tcPr>
          <w:p>
            <w:r>
              <w:rPr>
                <w:sz w:val="18"/>
              </w:rPr>
              <w:t>评测时：阶段一+二（均值式）</w:t>
            </w:r>
          </w:p>
        </w:tc>
        <w:tc>
          <w:tcPr>
            <w:tcW w:type="dxa" w:w="2897"/>
          </w:tcPr>
          <w:p>
            <w:r>
              <w:rPr>
                <w:sz w:val="18"/>
              </w:rPr>
              <w:t>—</w:t>
            </w:r>
          </w:p>
        </w:tc>
        <w:tc>
          <w:tcPr>
            <w:tcW w:type="dxa" w:w="2897"/>
          </w:tcPr>
          <w:p>
            <w:r>
              <w:rPr>
                <w:sz w:val="18"/>
              </w:rPr>
              <w:t>-0.074±0.008</w:t>
            </w:r>
          </w:p>
        </w:tc>
      </w:tr>
    </w:tbl>
    <w:p>
      <w:r>
        <w:rPr>
          <w:b w:val="0"/>
        </w:rPr>
      </w:r>
    </w:p>
    <w:p>
      <w:r>
        <w:rPr>
          <w:b w:val="0"/>
        </w:rPr>
        <w:t>实验结果：完整方法取得 +1.323±0.530（n=4） 的显著改善；从零训练去掉读出精化后坍缩至 +0.049±0.025（n=4），去掉深度路由 α-floor 后坍缩至 +0.060±0.071（n=4），而将阶段三替换为覆盖式更新并从零训练后仅取得 +0.937（2种子），均低于完整方法。评测时阶段消融呈现同样的“1+1+1&gt;3”结构：仅阶段一（+0.049）与阶段一+二的两种无竞争变体（覆盖式 -0.073、均值式 -0.074）均接近或低于无记忆基线，只有三阶段全用才取得 +1.290（0.6B）与 +0.973（1.7B）的显著改善。其中，“阶段一+二（覆盖式）”的失败印证了“三阶段方法的协同关系”论断（3）——没有旧/新内容之间的零和竞争，“遗忘防御”机制不成立；“仅阶段一”的失败印证了论断（1）——没有阶段二/三，固定容量矩阵中不含任何历史信息可供读出。上述结果直接支撑了权利要求 1 将三个阶段作为整体保护的必要性。</w:t>
      </w:r>
    </w:p>
    <w:p>
      <w:r>
        <w:rPr>
          <w:b/>
        </w:rPr>
        <w:t>实验五：记忆容量 K 扫描</w:t>
      </w:r>
    </w:p>
    <w:p>
      <w:r>
        <w:rPr>
          <w:b w:val="0"/>
        </w:rPr>
        <w:t>实验设置：在与完整方法相同的训练配方下，仅改变记忆矩阵槽位数 K，分别取 K∈{32, 128, 512} 从零训练并在同一验证集上评测，以验证说明书中“K 可在 {16,32,64,128,256,512,1024,…} 范围内选择”的可实施性，并量化容量对记忆效果的影响。结果如表 5 与图 6 所示。</w:t>
      </w:r>
    </w:p>
    <w:p>
      <w:r>
        <w:rPr>
          <w:b w:val="0"/>
        </w:rPr>
        <w:t>表 5  记忆容量 K 扫描（Qwen3-0.6B，从零训练）</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97"/>
        <w:gridCol w:w="2897"/>
        <w:gridCol w:w="2897"/>
      </w:tblGrid>
      <w:tr>
        <w:tc>
          <w:tcPr>
            <w:tcW w:type="dxa" w:w="2897"/>
          </w:tcPr>
          <w:p>
            <w:r>
              <w:rPr>
                <w:b/>
                <w:sz w:val="18"/>
              </w:rPr>
              <w:t>槽位数 K</w:t>
            </w:r>
          </w:p>
        </w:tc>
        <w:tc>
          <w:tcPr>
            <w:tcW w:type="dxa" w:w="2897"/>
          </w:tcPr>
          <w:p>
            <w:r>
              <w:rPr>
                <w:b/>
                <w:sz w:val="18"/>
              </w:rPr>
              <w:t>M_c 体积</w:t>
              <w:br/>
              <w:t>(KB, bf16)</w:t>
            </w:r>
          </w:p>
        </w:tc>
        <w:tc>
          <w:tcPr>
            <w:tcW w:type="dxa" w:w="2897"/>
          </w:tcPr>
          <w:p>
            <w:r>
              <w:rPr>
                <w:b/>
                <w:sz w:val="18"/>
              </w:rPr>
              <w:t>Δ（nats）</w:t>
            </w:r>
          </w:p>
        </w:tc>
      </w:tr>
      <w:tr>
        <w:tc>
          <w:tcPr>
            <w:tcW w:type="dxa" w:w="2897"/>
          </w:tcPr>
          <w:p>
            <w:r>
              <w:rPr>
                <w:sz w:val="18"/>
              </w:rPr>
              <w:t>32</w:t>
            </w:r>
          </w:p>
        </w:tc>
        <w:tc>
          <w:tcPr>
            <w:tcW w:type="dxa" w:w="2897"/>
          </w:tcPr>
          <w:p>
            <w:r>
              <w:rPr>
                <w:sz w:val="18"/>
              </w:rPr>
              <w:t>64</w:t>
            </w:r>
          </w:p>
        </w:tc>
        <w:tc>
          <w:tcPr>
            <w:tcW w:type="dxa" w:w="2897"/>
          </w:tcPr>
          <w:p>
            <w:r>
              <w:rPr>
                <w:sz w:val="18"/>
              </w:rPr>
              <w:t>+1.830</w:t>
            </w:r>
          </w:p>
        </w:tc>
      </w:tr>
      <w:tr>
        <w:tc>
          <w:tcPr>
            <w:tcW w:type="dxa" w:w="2897"/>
          </w:tcPr>
          <w:p>
            <w:r>
              <w:rPr>
                <w:sz w:val="18"/>
              </w:rPr>
              <w:t>128</w:t>
            </w:r>
          </w:p>
        </w:tc>
        <w:tc>
          <w:tcPr>
            <w:tcW w:type="dxa" w:w="2897"/>
          </w:tcPr>
          <w:p>
            <w:r>
              <w:rPr>
                <w:sz w:val="18"/>
              </w:rPr>
              <w:t>256</w:t>
            </w:r>
          </w:p>
        </w:tc>
        <w:tc>
          <w:tcPr>
            <w:tcW w:type="dxa" w:w="2897"/>
          </w:tcPr>
          <w:p>
            <w:r>
              <w:rPr>
                <w:sz w:val="18"/>
              </w:rPr>
              <w:t>+1.323</w:t>
            </w:r>
          </w:p>
        </w:tc>
      </w:tr>
      <w:tr>
        <w:tc>
          <w:tcPr>
            <w:tcW w:type="dxa" w:w="2897"/>
          </w:tcPr>
          <w:p>
            <w:r>
              <w:rPr>
                <w:sz w:val="18"/>
              </w:rPr>
              <w:t>512</w:t>
            </w:r>
          </w:p>
        </w:tc>
        <w:tc>
          <w:tcPr>
            <w:tcW w:type="dxa" w:w="2897"/>
          </w:tcPr>
          <w:p>
            <w:r>
              <w:rPr>
                <w:sz w:val="18"/>
              </w:rPr>
              <w:t>1024</w:t>
            </w:r>
          </w:p>
        </w:tc>
        <w:tc>
          <w:tcPr>
            <w:tcW w:type="dxa" w:w="2897"/>
          </w:tcPr>
          <w:p>
            <w:r>
              <w:rPr>
                <w:sz w:val="18"/>
              </w:rPr>
              <w:t>+0.847</w:t>
            </w:r>
          </w:p>
        </w:tc>
      </w:tr>
    </w:tbl>
    <w:p>
      <w:r>
        <w:rPr>
          <w:b w:val="0"/>
        </w:rPr>
      </w:r>
    </w:p>
    <w:p>
      <w:r>
        <w:rPr>
          <w:b w:val="0"/>
        </w:rPr>
        <w:t>实验结果：在所扫描的 K∈{32,128,512} 范围内，本发明均取得正的回调交叉熵改善，表明固定容量外置记忆在不同槽位预算下均可实施；默认配置 K=128（约 256KB/用户）在效果与存储之间取得良好折中。该结果支撑了说明书中关于 K 取值范围的实施方式陈述。</w:t>
      </w:r>
    </w:p>
    <w:p>
      <w:r>
        <w:rPr>
          <w:b/>
        </w:rPr>
        <w:t>实验六：阶段三更新结构对比（与最接近的现有记忆更新结构对比）</w:t>
      </w:r>
    </w:p>
    <w:p>
      <w:r>
        <w:rPr>
          <w:b w:val="0"/>
        </w:rPr>
        <w:t>实验设置：为直接回答“在关系记忆/门控记忆等现有记忆更新结构的基础上，本发明阶段三的竞争式判定更新是否显而易见”这一问题，本实验将阶段三的更新结构作为唯一变量：阶段一、阶段二、训练配方、数据与步数全部与完整方法保持逐位一致，仅将阶段三分别替换为下列结构后从零训练并评测：（a）权利要求 6 所述迭代式槽位竞争更新（本发明，T=3，4 种子）；（b）权利要求 10 所述单轮 2K-softmax 竞争判定（本发明的简化变体，4 种子）；（c）“关系记忆核（Relational Memory Core）”式更新——拼接矩阵 [M_c;M_new] 做普通自注意力（softmax 沿 2K 输入方向、每槽位独立归一化），取旧槽位位置的残差输出为新记忆，不设可学习判定查询、无槽位间零和竞争；（d）门控替换更新——每槽位以 sigmoid 门在旧槽位与新候选间线性插值（g·新+(1-g)·旧），无任何注意力竞争；（e）覆盖式更新——新候选直接覆盖旧记忆；（f）均值池化更新——全部历史候选的均值（评测时替换）。结果如表 6 与图 7 所示。</w:t>
      </w:r>
    </w:p>
    <w:p>
      <w:r>
        <w:rPr>
          <w:b w:val="0"/>
        </w:rPr>
        <w:t>表 6  阶段三更新结构对比：回调交叉熵改善 Δ（nats；Qwen3-0.6B，除（f）外均从零训练，其余组件与训练配方完全相同）</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345"/>
        <w:gridCol w:w="4345"/>
      </w:tblGrid>
      <w:tr>
        <w:tc>
          <w:tcPr>
            <w:tcW w:type="dxa" w:w="4345"/>
          </w:tcPr>
          <w:p>
            <w:r>
              <w:rPr>
                <w:b/>
                <w:sz w:val="18"/>
              </w:rPr>
              <w:t>阶段三更新结构</w:t>
            </w:r>
          </w:p>
        </w:tc>
        <w:tc>
          <w:tcPr>
            <w:tcW w:type="dxa" w:w="4345"/>
          </w:tcPr>
          <w:p>
            <w:r>
              <w:rPr>
                <w:b/>
                <w:sz w:val="18"/>
              </w:rPr>
              <w:t>Δ（nats）</w:t>
            </w:r>
          </w:p>
        </w:tc>
      </w:tr>
      <w:tr>
        <w:tc>
          <w:tcPr>
            <w:tcW w:type="dxa" w:w="4345"/>
          </w:tcPr>
          <w:p>
            <w:r>
              <w:rPr>
                <w:sz w:val="18"/>
              </w:rPr>
              <w:t>（a）迭代式槽位竞争更新（权利要求 6，本发明）</w:t>
            </w:r>
          </w:p>
        </w:tc>
        <w:tc>
          <w:tcPr>
            <w:tcW w:type="dxa" w:w="4345"/>
          </w:tcPr>
          <w:p>
            <w:r>
              <w:rPr>
                <w:sz w:val="18"/>
              </w:rPr>
              <w:t>+1.323±0.530（4种子）</w:t>
            </w:r>
          </w:p>
        </w:tc>
      </w:tr>
      <w:tr>
        <w:tc>
          <w:tcPr>
            <w:tcW w:type="dxa" w:w="4345"/>
          </w:tcPr>
          <w:p>
            <w:r>
              <w:rPr>
                <w:sz w:val="18"/>
              </w:rPr>
              <w:t>（b）单轮 2K-softmax 竞争判定（权利要求 10）</w:t>
            </w:r>
          </w:p>
        </w:tc>
        <w:tc>
          <w:tcPr>
            <w:tcW w:type="dxa" w:w="4345"/>
          </w:tcPr>
          <w:p>
            <w:r>
              <w:rPr>
                <w:sz w:val="18"/>
              </w:rPr>
              <w:t>+0.724±0.317（4种子）</w:t>
            </w:r>
          </w:p>
        </w:tc>
      </w:tr>
      <w:tr>
        <w:tc>
          <w:tcPr>
            <w:tcW w:type="dxa" w:w="4345"/>
          </w:tcPr>
          <w:p>
            <w:r>
              <w:rPr>
                <w:sz w:val="18"/>
              </w:rPr>
              <w:t>（c）关系记忆核式自注意力更新（无判定查询）</w:t>
            </w:r>
          </w:p>
        </w:tc>
        <w:tc>
          <w:tcPr>
            <w:tcW w:type="dxa" w:w="4345"/>
          </w:tcPr>
          <w:p>
            <w:r>
              <w:rPr>
                <w:sz w:val="18"/>
              </w:rPr>
              <w:t>+0.846（1种子）</w:t>
            </w:r>
          </w:p>
        </w:tc>
      </w:tr>
      <w:tr>
        <w:tc>
          <w:tcPr>
            <w:tcW w:type="dxa" w:w="4345"/>
          </w:tcPr>
          <w:p>
            <w:r>
              <w:rPr>
                <w:sz w:val="18"/>
              </w:rPr>
              <w:t>（d）门控替换更新（无竞争）</w:t>
            </w:r>
          </w:p>
        </w:tc>
        <w:tc>
          <w:tcPr>
            <w:tcW w:type="dxa" w:w="4345"/>
          </w:tcPr>
          <w:p>
            <w:r>
              <w:rPr>
                <w:sz w:val="18"/>
              </w:rPr>
              <w:t>+0.882（1种子）</w:t>
            </w:r>
          </w:p>
        </w:tc>
      </w:tr>
      <w:tr>
        <w:tc>
          <w:tcPr>
            <w:tcW w:type="dxa" w:w="4345"/>
          </w:tcPr>
          <w:p>
            <w:r>
              <w:rPr>
                <w:sz w:val="18"/>
              </w:rPr>
              <w:t>（e）覆盖式更新（无竞争）</w:t>
            </w:r>
          </w:p>
        </w:tc>
        <w:tc>
          <w:tcPr>
            <w:tcW w:type="dxa" w:w="4345"/>
          </w:tcPr>
          <w:p>
            <w:r>
              <w:rPr>
                <w:sz w:val="18"/>
              </w:rPr>
              <w:t>+0.937（2种子）</w:t>
            </w:r>
          </w:p>
        </w:tc>
      </w:tr>
      <w:tr>
        <w:tc>
          <w:tcPr>
            <w:tcW w:type="dxa" w:w="4345"/>
          </w:tcPr>
          <w:p>
            <w:r>
              <w:rPr>
                <w:sz w:val="18"/>
              </w:rPr>
              <w:t>（f）均值池化更新（评测时）</w:t>
            </w:r>
          </w:p>
        </w:tc>
        <w:tc>
          <w:tcPr>
            <w:tcW w:type="dxa" w:w="4345"/>
          </w:tcPr>
          <w:p>
            <w:r>
              <w:rPr>
                <w:sz w:val="18"/>
              </w:rPr>
              <w:t>-0.074±0.008</w:t>
            </w:r>
          </w:p>
        </w:tc>
      </w:tr>
    </w:tbl>
    <w:p>
      <w:r>
        <w:rPr>
          <w:b w:val="0"/>
        </w:rPr>
      </w:r>
    </w:p>
    <w:p>
      <w:r>
        <w:rPr>
          <w:b w:val="0"/>
        </w:rPr>
        <w:t>实验结果：（1）权利要求 6 所述迭代式槽位竞争更新取得全部受试更新结构中最优的 +1.323±0.530。其沿槽位方向的零和竞争迫使 K 个记忆槽位在旧内容与新候选之间显式争夺、并使各槽位分别特化于历史中的不同信息（避免了“全部槽位收敛到同一均值”的对称塌缩），是取得该效果的结构原因。（2）权利要求 10 所述单轮 2K-softmax 简化变体取得 +0.724±0.317，低于迭代式实现约 45%，但仍超过实验二中全部 RAG 变体（含理想检索参照 +0.111），可作为轻量备选实施方式。（3）三类公知更新结构（关系记忆核式自注意力 +0.846、门控替换 +0.882、覆盖式 +0.937）在本发明的阶段一/阶段二架构之上亦可获得正改善——这本身进一步印证了阶段一与阶段二的贡献（对照实验四：去掉读出精化或深度路由辅助损失后整体增益几乎归零）——但均比权利要求 6 的迭代式槽位竞争更新低约 30%~40%。（4）竞争式判定在推理期的必要性由实验四的评测时消融直接证明：在同一训练好的完整方法检查点上，仅将阶段三替换为覆盖式或均值式（不重新训练），改善即由 +1.290 骤降至 -0.073／-0.074，表明训练收敛后的系统实际依赖竞争式判定来维持跨会话记忆。综上：阶段三“以可学习判定查询驱动的迭代式槽位零和竞争”相对于公知的自注意力更新、门控替换与覆盖式更新具有实测的技术优势；该优势建立在阶段一/阶段二/阶段三整体协同的基础之上，任一公知结构的简单替换均不能达到完整方法的效果。</w:t>
      </w:r>
    </w:p>
    <w:p>
      <w:pPr>
        <w:sectPr>
          <w:footerReference w:type="default" r:id="rId4"/>
          <w:type w:val="nextPage"/>
          <w:pgSz w:w="11906" w:h="16838"/>
          <w:pgMar w:left="1797" w:right="1418" w:gutter="0" w:header="0" w:top="1440" w:footer="992" w:bottom="1440"/>
          <w:pgNumType w:start="1" w:fmt="decimal"/>
          <w:formProt w:val="false"/>
          <w:textDirection w:val="lrTb"/>
          <w:docGrid w:type="linesAndChars" w:linePitch="312" w:charSpace="0"/>
        </w:sectPr>
        <w:pStyle w:val="Normal"/>
        <w:rPr/>
      </w:pPr>
      <w:r>
        <w:rPr/>
        <w:t>最后应当说明的是：以上实施例仅用以说明本发明的技术方案而非对其限制，尽管参照较佳实施例对本发明进行了详细的说明，所属领域的普通技术人员应当理解，依然可以对发明的具体实施方式进行修改或者对部分技术特征进行等同替换，而不脱离本发明技术方案的精神，其均应涵盖在本发明请求保护的技术方案范围。</w:t>
      </w:r>
    </w:p>
    <w:p>
      <w:pPr>
        <w:pStyle w:val="Normal"/>
        <w:jc w:val="center"/>
        <w:rPr/>
      </w:pPr>
      <w:r>
        <mc:AlternateContent>
          <mc:Choice Requires="wps">
            <w:drawing>
              <wp:anchor behindDoc="0" distT="0" distB="0" distL="114935" distR="114935" simplePos="0" locked="0" layoutInCell="0" allowOverlap="1" relativeHeight="7">
                <wp:simplePos x="0" y="0"/>
                <wp:positionH relativeFrom="column">
                  <wp:posOffset>-342900</wp:posOffset>
                </wp:positionH>
                <wp:positionV relativeFrom="paragraph">
                  <wp:posOffset>396240</wp:posOffset>
                </wp:positionV>
                <wp:extent cx="6057900" cy="0"/>
                <wp:effectExtent l="0" t="9525" r="0" b="9525"/>
                <wp:wrapNone/>
                <wp:docPr id="4" name="直线 5"/>
                <a:graphic xmlns:a="http://schemas.openxmlformats.org/drawingml/2006/main">
                  <a:graphicData uri="http://schemas.microsoft.com/office/word/2010/wordprocessingShape">
                    <wps:wsp>
                      <wps:cNvSpPr/>
                      <wps:spPr>
                        <a:xfrm>
                          <a:off x="0" y="0"/>
                          <a:ext cx="6058080" cy="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27pt,31.2pt" to="449.95pt,31.2pt" ID="直线 5" stroked="t" o:allowincell="f" style="position:absolute">
                <v:stroke color="black" weight="19080" joinstyle="miter" endcap="flat"/>
                <v:fill o:detectmouseclick="t" on="false"/>
                <w10:wrap type="none"/>
              </v:line>
            </w:pict>
          </mc:Fallback>
        </mc:AlternateContent>
      </w:r>
      <w:r>
        <w:rPr>
          <w:rFonts w:eastAsia="楷体_GB2312;楷体"/>
          <w:sz w:val="36"/>
        </w:rPr>
        <w:t>说</w:t>
      </w:r>
      <w:r>
        <w:rPr>
          <w:sz w:val="36"/>
        </w:rPr>
        <w:t xml:space="preserve">  </w:t>
      </w:r>
      <w:r>
        <w:rPr>
          <w:sz w:val="36"/>
        </w:rPr>
        <w:t xml:space="preserve"> </w:t>
      </w:r>
      <w:r>
        <w:rPr>
          <w:rFonts w:eastAsia="楷体_GB2312;楷体"/>
          <w:sz w:val="36"/>
        </w:rPr>
        <w:t>明</w:t>
      </w:r>
      <w:r>
        <w:rPr>
          <w:sz w:val="36"/>
        </w:rPr>
        <w:t xml:space="preserve">  </w:t>
      </w:r>
      <w:r>
        <w:rPr>
          <w:sz w:val="36"/>
        </w:rPr>
        <w:t xml:space="preserve"> </w:t>
      </w:r>
      <w:r>
        <w:rPr>
          <w:rFonts w:eastAsia="楷体_GB2312;楷体"/>
          <w:sz w:val="36"/>
        </w:rPr>
        <w:t>书</w:t>
      </w:r>
      <w:r>
        <w:rPr>
          <w:sz w:val="36"/>
        </w:rPr>
        <w:t xml:space="preserve">  </w:t>
      </w:r>
      <w:r>
        <w:rPr>
          <w:sz w:val="36"/>
        </w:rPr>
        <w:t xml:space="preserve"> </w:t>
      </w:r>
      <w:r>
        <w:rPr>
          <w:rFonts w:eastAsia="楷体_GB2312;楷体"/>
          <w:sz w:val="36"/>
        </w:rPr>
        <w:t>附</w:t>
      </w:r>
      <w:r>
        <w:rPr>
          <w:sz w:val="36"/>
        </w:rPr>
        <w:t xml:space="preserve">  </w:t>
      </w:r>
      <w:r>
        <w:rPr>
          <w:sz w:val="36"/>
        </w:rPr>
        <w:t xml:space="preserve"> </w:t>
      </w:r>
      <w:r>
        <w:rPr>
          <w:rFonts w:eastAsia="楷体_GB2312;楷体"/>
          <w:sz w:val="36"/>
        </w:rPr>
        <w:t>图</w:t>
      </w:r>
    </w:p>
    <w:p>
      <w:pPr>
        <w:pStyle w:val="Normal"/>
        <w:spacing w:before="60" w:after="0"/>
        <w:jc w:val="center"/>
        <w:rPr/>
      </w:pPr>
      <w:r>
        <w:rPr/>
        <w:drawing>
          <wp:inline distT="0" distB="0" distL="0" distR="0">
            <wp:extent cx="1390650" cy="3543300"/>
            <wp:effectExtent l="0" t="0" r="0" b="0"/>
            <wp:docPr id="5" name="E657119C-6982-421D-8BA7-E74DEB70A7D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657119C-6982-421D-8BA7-E74DEB70A7D9-2" descr=""/>
                    <pic:cNvPicPr>
                      <a:picLocks noChangeAspect="1" noChangeArrowheads="1"/>
                    </pic:cNvPicPr>
                  </pic:nvPicPr>
                  <pic:blipFill>
                    <a:blip r:embed="rId5"/>
                    <a:srcRect l="-26" t="-10" r="-26" b="-10"/>
                    <a:stretch>
                      <a:fillRect/>
                    </a:stretch>
                  </pic:blipFill>
                  <pic:spPr bwMode="auto">
                    <a:xfrm>
                      <a:off x="0" y="0"/>
                      <a:ext cx="1390650" cy="3543300"/>
                    </a:xfrm>
                    <a:prstGeom prst="rect">
                      <a:avLst/>
                    </a:prstGeom>
                  </pic:spPr>
                </pic:pic>
              </a:graphicData>
            </a:graphic>
          </wp:inline>
        </w:drawing>
      </w:r>
    </w:p>
    <w:p>
      <w:pPr>
        <w:pStyle w:val="Normal"/>
        <w:spacing w:before="60" w:after="0"/>
        <w:jc w:val="center"/>
        <w:rPr/>
      </w:pPr>
      <w:r>
        <w:rPr/>
        <w:t>图</w:t>
      </w:r>
      <w:r>
        <w:rPr/>
        <w:t>1</w:t>
      </w:r>
    </w:p>
    <w:p>
      <w:pPr>
        <w:pStyle w:val="Normal"/>
        <w:spacing w:before="60" w:after="0"/>
        <w:jc w:val="center"/>
        <w:rPr/>
      </w:pPr>
      <w:r>
        <w:rPr/>
      </w:r>
    </w:p>
    <w:p>
      <w:pPr>
        <w:pStyle w:val="Normal"/>
        <w:spacing w:before="60" w:after="0"/>
        <w:jc w:val="center"/>
        <w:rPr/>
      </w:pPr>
      <w:r>
        <w:rPr/>
      </w:r>
    </w:p>
    <w:p>
      <w:pPr>
        <w:pStyle w:val="Normal"/>
        <w:spacing w:before="60" w:after="0"/>
        <w:jc w:val="center"/>
        <w:rPr/>
      </w:pPr>
      <w:r>
        <w:rPr/>
      </w:r>
    </w:p>
    <w:p>
      <w:pPr>
        <w:pStyle w:val="Normal"/>
        <w:spacing w:before="60" w:after="0"/>
        <w:jc w:val="center"/>
        <w:rPr/>
      </w:pPr>
      <w:r>
        <w:rPr/>
      </w:r>
    </w:p>
    <w:p>
      <w:pPr>
        <w:sectPr>
          <w:footerReference w:type="default" r:id="rId6"/>
          <w:type w:val="nextPage"/>
          <w:pgSz w:w="11906" w:h="16838"/>
          <w:pgMar w:left="1797" w:right="1418" w:gutter="0" w:header="0" w:top="1440" w:footer="992" w:bottom="1440"/>
          <w:pgNumType w:start="1" w:fmt="decimal"/>
          <w:formProt w:val="false"/>
          <w:textDirection w:val="lrTb"/>
          <w:docGrid w:type="linesAndChars" w:linePitch="312" w:charSpace="0"/>
        </w:sectPr>
        <w:pStyle w:val="Normal"/>
        <w:spacing w:before="60" w:after="0"/>
        <w:jc w:val="center"/>
        <w:rPr/>
      </w:pPr>
      <w:r>
        <w:rPr/>
      </w:r>
    </w:p>
    <w:p>
      <w:pPr>
        <w:jc w:val="center"/>
      </w:pPr>
      <w:r>
        <w:drawing>
          <wp:inline xmlns:a="http://schemas.openxmlformats.org/drawingml/2006/main" xmlns:pic="http://schemas.openxmlformats.org/drawingml/2006/picture">
            <wp:extent cx="5760720" cy="1657622"/>
            <wp:docPr id="8" name="Picture 8"/>
            <wp:cNvGraphicFramePr>
              <a:graphicFrameLocks noChangeAspect="1"/>
            </wp:cNvGraphicFramePr>
            <a:graphic>
              <a:graphicData uri="http://schemas.openxmlformats.org/drawingml/2006/picture">
                <pic:pic>
                  <pic:nvPicPr>
                    <pic:cNvPr id="0" name="fig_exp1_cost.png"/>
                    <pic:cNvPicPr/>
                  </pic:nvPicPr>
                  <pic:blipFill>
                    <a:blip r:embed="rId14"/>
                    <a:stretch>
                      <a:fillRect/>
                    </a:stretch>
                  </pic:blipFill>
                  <pic:spPr>
                    <a:xfrm>
                      <a:off x="0" y="0"/>
                      <a:ext cx="5760720" cy="1657622"/>
                    </a:xfrm>
                    <a:prstGeom prst="rect"/>
                  </pic:spPr>
                </pic:pic>
              </a:graphicData>
            </a:graphic>
          </wp:inline>
        </w:drawing>
      </w:r>
    </w:p>
    <w:p>
      <w:pPr>
        <w:jc w:val="center"/>
      </w:pPr>
      <w:r>
        <w:t>图2</w:t>
      </w:r>
    </w:p>
    <w:p>
      <w:pPr>
        <w:jc w:val="center"/>
      </w:pPr>
      <w:r>
        <w:drawing>
          <wp:inline xmlns:a="http://schemas.openxmlformats.org/drawingml/2006/main" xmlns:pic="http://schemas.openxmlformats.org/drawingml/2006/picture">
            <wp:extent cx="5760720" cy="2109857"/>
            <wp:docPr id="9" name="Picture 9"/>
            <wp:cNvGraphicFramePr>
              <a:graphicFrameLocks noChangeAspect="1"/>
            </wp:cNvGraphicFramePr>
            <a:graphic>
              <a:graphicData uri="http://schemas.openxmlformats.org/drawingml/2006/picture">
                <pic:pic>
                  <pic:nvPicPr>
                    <pic:cNvPr id="0" name="fig_exp2_rag.png"/>
                    <pic:cNvPicPr/>
                  </pic:nvPicPr>
                  <pic:blipFill>
                    <a:blip r:embed="rId15"/>
                    <a:stretch>
                      <a:fillRect/>
                    </a:stretch>
                  </pic:blipFill>
                  <pic:spPr>
                    <a:xfrm>
                      <a:off x="0" y="0"/>
                      <a:ext cx="5760720" cy="2109857"/>
                    </a:xfrm>
                    <a:prstGeom prst="rect"/>
                  </pic:spPr>
                </pic:pic>
              </a:graphicData>
            </a:graphic>
          </wp:inline>
        </w:drawing>
      </w:r>
    </w:p>
    <w:p>
      <w:pPr>
        <w:jc w:val="center"/>
      </w:pPr>
      <w:r>
        <w:t>图3</w:t>
      </w:r>
    </w:p>
    <w:p>
      <w:pPr>
        <w:jc w:val="center"/>
      </w:pPr>
      <w:r>
        <w:drawing>
          <wp:inline xmlns:a="http://schemas.openxmlformats.org/drawingml/2006/main" xmlns:pic="http://schemas.openxmlformats.org/drawingml/2006/picture">
            <wp:extent cx="5760720" cy="2111148"/>
            <wp:docPr id="10" name="Picture 10"/>
            <wp:cNvGraphicFramePr>
              <a:graphicFrameLocks noChangeAspect="1"/>
            </wp:cNvGraphicFramePr>
            <a:graphic>
              <a:graphicData uri="http://schemas.openxmlformats.org/drawingml/2006/picture">
                <pic:pic>
                  <pic:nvPicPr>
                    <pic:cNvPr id="0" name="fig_exp3_retention.png"/>
                    <pic:cNvPicPr/>
                  </pic:nvPicPr>
                  <pic:blipFill>
                    <a:blip r:embed="rId16"/>
                    <a:stretch>
                      <a:fillRect/>
                    </a:stretch>
                  </pic:blipFill>
                  <pic:spPr>
                    <a:xfrm>
                      <a:off x="0" y="0"/>
                      <a:ext cx="5760720" cy="2111148"/>
                    </a:xfrm>
                    <a:prstGeom prst="rect"/>
                  </pic:spPr>
                </pic:pic>
              </a:graphicData>
            </a:graphic>
          </wp:inline>
        </w:drawing>
      </w:r>
    </w:p>
    <w:p>
      <w:pPr>
        <w:jc w:val="center"/>
      </w:pPr>
      <w:r>
        <w:t>图4</w:t>
      </w:r>
    </w:p>
    <w:p>
      <w:pPr>
        <w:jc w:val="center"/>
      </w:pPr>
      <w:r>
        <w:drawing>
          <wp:inline xmlns:a="http://schemas.openxmlformats.org/drawingml/2006/main" xmlns:pic="http://schemas.openxmlformats.org/drawingml/2006/picture">
            <wp:extent cx="5760720" cy="2042408"/>
            <wp:docPr id="11" name="Picture 11"/>
            <wp:cNvGraphicFramePr>
              <a:graphicFrameLocks noChangeAspect="1"/>
            </wp:cNvGraphicFramePr>
            <a:graphic>
              <a:graphicData uri="http://schemas.openxmlformats.org/drawingml/2006/picture">
                <pic:pic>
                  <pic:nvPicPr>
                    <pic:cNvPr id="0" name="fig_exp4_ablation.png"/>
                    <pic:cNvPicPr/>
                  </pic:nvPicPr>
                  <pic:blipFill>
                    <a:blip r:embed="rId17"/>
                    <a:stretch>
                      <a:fillRect/>
                    </a:stretch>
                  </pic:blipFill>
                  <pic:spPr>
                    <a:xfrm>
                      <a:off x="0" y="0"/>
                      <a:ext cx="5760720" cy="2042408"/>
                    </a:xfrm>
                    <a:prstGeom prst="rect"/>
                  </pic:spPr>
                </pic:pic>
              </a:graphicData>
            </a:graphic>
          </wp:inline>
        </w:drawing>
      </w:r>
    </w:p>
    <w:p>
      <w:pPr>
        <w:jc w:val="center"/>
      </w:pPr>
      <w:r>
        <w:t>图5</w:t>
      </w:r>
    </w:p>
    <w:p>
      <w:pPr>
        <w:jc w:val="center"/>
      </w:pPr>
      <w:r>
        <w:drawing>
          <wp:inline xmlns:a="http://schemas.openxmlformats.org/drawingml/2006/main" xmlns:pic="http://schemas.openxmlformats.org/drawingml/2006/picture">
            <wp:extent cx="5760720" cy="3727734"/>
            <wp:docPr id="12" name="Picture 12"/>
            <wp:cNvGraphicFramePr>
              <a:graphicFrameLocks noChangeAspect="1"/>
            </wp:cNvGraphicFramePr>
            <a:graphic>
              <a:graphicData uri="http://schemas.openxmlformats.org/drawingml/2006/picture">
                <pic:pic>
                  <pic:nvPicPr>
                    <pic:cNvPr id="0" name="fig_exp5_capacity.png"/>
                    <pic:cNvPicPr/>
                  </pic:nvPicPr>
                  <pic:blipFill>
                    <a:blip r:embed="rId18"/>
                    <a:stretch>
                      <a:fillRect/>
                    </a:stretch>
                  </pic:blipFill>
                  <pic:spPr>
                    <a:xfrm>
                      <a:off x="0" y="0"/>
                      <a:ext cx="5760720" cy="3727734"/>
                    </a:xfrm>
                    <a:prstGeom prst="rect"/>
                  </pic:spPr>
                </pic:pic>
              </a:graphicData>
            </a:graphic>
          </wp:inline>
        </w:drawing>
      </w:r>
    </w:p>
    <w:p>
      <w:pPr>
        <w:jc w:val="center"/>
      </w:pPr>
      <w:r>
        <w:t>图6</w:t>
      </w:r>
    </w:p>
    <w:p>
      <w:pPr>
        <w:jc w:val="center"/>
      </w:pPr>
      <w:r>
        <w:drawing>
          <wp:inline xmlns:a="http://schemas.openxmlformats.org/drawingml/2006/main" xmlns:pic="http://schemas.openxmlformats.org/drawingml/2006/picture">
            <wp:extent cx="5760720" cy="2395871"/>
            <wp:docPr id="13" name="Picture 13"/>
            <wp:cNvGraphicFramePr>
              <a:graphicFrameLocks noChangeAspect="1"/>
            </wp:cNvGraphicFramePr>
            <a:graphic>
              <a:graphicData uri="http://schemas.openxmlformats.org/drawingml/2006/picture">
                <pic:pic>
                  <pic:nvPicPr>
                    <pic:cNvPr id="0" name="fig_exp6_stage3.png"/>
                    <pic:cNvPicPr/>
                  </pic:nvPicPr>
                  <pic:blipFill>
                    <a:blip r:embed="rId19"/>
                    <a:stretch>
                      <a:fillRect/>
                    </a:stretch>
                  </pic:blipFill>
                  <pic:spPr>
                    <a:xfrm>
                      <a:off x="0" y="0"/>
                      <a:ext cx="5760720" cy="2395871"/>
                    </a:xfrm>
                    <a:prstGeom prst="rect"/>
                  </pic:spPr>
                </pic:pic>
              </a:graphicData>
            </a:graphic>
          </wp:inline>
        </w:drawing>
      </w:r>
    </w:p>
    <w:p>
      <w:pPr>
        <w:jc w:val="center"/>
      </w:pPr>
      <w:r>
        <w:t>图7</w:t>
      </w:r>
    </w:p>
    <w:p>
      <w:pPr>
        <w:pStyle w:val="Normal"/>
        <w:jc w:val="center"/>
        <w:rPr/>
      </w:pPr>
      <w:r>
        <mc:AlternateContent>
          <mc:Choice Requires="wps">
            <w:drawing>
              <wp:anchor behindDoc="0" distT="0" distB="0" distL="114935" distR="114935" simplePos="0" locked="0" layoutInCell="0" allowOverlap="1" relativeHeight="8">
                <wp:simplePos x="0" y="0"/>
                <wp:positionH relativeFrom="column">
                  <wp:posOffset>-342900</wp:posOffset>
                </wp:positionH>
                <wp:positionV relativeFrom="paragraph">
                  <wp:posOffset>396240</wp:posOffset>
                </wp:positionV>
                <wp:extent cx="6057900" cy="0"/>
                <wp:effectExtent l="0" t="9525" r="0" b="9525"/>
                <wp:wrapNone/>
                <wp:docPr id="6" name="直线 125"/>
                <a:graphic xmlns:a="http://schemas.openxmlformats.org/drawingml/2006/main">
                  <a:graphicData uri="http://schemas.microsoft.com/office/word/2010/wordprocessingShape">
                    <wps:wsp>
                      <wps:cNvSpPr/>
                      <wps:spPr>
                        <a:xfrm>
                          <a:off x="0" y="0"/>
                          <a:ext cx="6058080" cy="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27pt,31.2pt" to="449.95pt,31.2pt" ID="直线 125" stroked="t" o:allowincell="f" style="position:absolute">
                <v:stroke color="black" weight="19080" joinstyle="miter" endcap="flat"/>
                <v:fill o:detectmouseclick="t" on="false"/>
                <w10:wrap type="none"/>
              </v:line>
            </w:pict>
          </mc:Fallback>
        </mc:AlternateContent>
      </w:r>
      <w:r>
        <w:rPr>
          <w:rFonts w:eastAsia="楷体_GB2312;楷体"/>
          <w:sz w:val="36"/>
        </w:rPr>
        <w:t>摘</w:t>
      </w:r>
      <w:r>
        <w:rPr>
          <w:sz w:val="36"/>
        </w:rPr>
        <w:t xml:space="preserve">  </w:t>
      </w:r>
      <w:r>
        <w:rPr>
          <w:sz w:val="36"/>
        </w:rPr>
        <w:t xml:space="preserve"> </w:t>
      </w:r>
      <w:r>
        <w:rPr>
          <w:rFonts w:eastAsia="楷体_GB2312;楷体"/>
          <w:sz w:val="36"/>
        </w:rPr>
        <w:t>要</w:t>
      </w:r>
      <w:r>
        <w:rPr>
          <w:sz w:val="36"/>
        </w:rPr>
        <w:t xml:space="preserve">  </w:t>
      </w:r>
      <w:r>
        <w:rPr>
          <w:sz w:val="36"/>
        </w:rPr>
        <w:t xml:space="preserve"> </w:t>
      </w:r>
      <w:r>
        <w:rPr>
          <w:rFonts w:eastAsia="楷体_GB2312;楷体"/>
          <w:sz w:val="36"/>
        </w:rPr>
        <w:t>附</w:t>
      </w:r>
      <w:r>
        <w:rPr>
          <w:sz w:val="36"/>
        </w:rPr>
        <w:t xml:space="preserve">  </w:t>
      </w:r>
      <w:r>
        <w:rPr>
          <w:sz w:val="36"/>
        </w:rPr>
        <w:t xml:space="preserve"> </w:t>
      </w:r>
      <w:r>
        <w:rPr>
          <w:rFonts w:eastAsia="楷体_GB2312;楷体"/>
          <w:sz w:val="36"/>
        </w:rPr>
        <w:t>图</w:t>
      </w:r>
    </w:p>
    <w:p>
      <w:pPr>
        <w:pStyle w:val="Normal"/>
        <w:jc w:val="center"/>
        <w:rPr>
          <w:rFonts w:eastAsia="楷体_GB2312;楷体"/>
          <w:sz w:val="24"/>
        </w:rPr>
      </w:pPr>
      <w:r>
        <w:rPr/>
        <w:drawing>
          <wp:inline distT="0" distB="0" distL="0" distR="0">
            <wp:extent cx="1390650" cy="3543300"/>
            <wp:effectExtent l="0" t="0" r="0" b="0"/>
            <wp:docPr id="7" name="E657119C-6982-421D-8BA7-E74DEB70A7D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657119C-6982-421D-8BA7-E74DEB70A7D9-3" descr=""/>
                    <pic:cNvPicPr>
                      <a:picLocks noChangeAspect="1" noChangeArrowheads="1"/>
                    </pic:cNvPicPr>
                  </pic:nvPicPr>
                  <pic:blipFill>
                    <a:blip r:embed="rId7"/>
                    <a:srcRect l="-26" t="-10" r="-26" b="-10"/>
                    <a:stretch>
                      <a:fillRect/>
                    </a:stretch>
                  </pic:blipFill>
                  <pic:spPr bwMode="auto">
                    <a:xfrm>
                      <a:off x="0" y="0"/>
                      <a:ext cx="1390650" cy="3543300"/>
                    </a:xfrm>
                    <a:prstGeom prst="rect">
                      <a:avLst/>
                    </a:prstGeom>
                  </pic:spPr>
                </pic:pic>
              </a:graphicData>
            </a:graphic>
          </wp:inline>
        </w:drawing>
      </w:r>
    </w:p>
    <w:p>
      <w:pPr>
        <w:pStyle w:val="Normal"/>
        <w:jc w:val="center"/>
        <w:rPr>
          <w:rFonts w:eastAsia="楷体_GB2312;楷体"/>
          <w:sz w:val="24"/>
        </w:rPr>
      </w:pPr>
      <w:r>
        <w:rPr>
          <w:rFonts w:eastAsia="楷体_GB2312;楷体"/>
          <w:sz w:val="24"/>
        </w:rPr>
      </w:r>
    </w:p>
    <w:p>
      <w:pPr>
        <w:pStyle w:val="Normal"/>
        <w:jc w:val="center"/>
        <w:rPr>
          <w:rFonts w:eastAsia="楷体_GB2312;楷体"/>
          <w:sz w:val="24"/>
        </w:rPr>
      </w:pPr>
      <w:r>
        <w:rPr>
          <w:rFonts w:eastAsia="楷体_GB2312;楷体"/>
          <w:sz w:val="24"/>
        </w:rPr>
      </w:r>
    </w:p>
    <w:p>
      <w:pPr>
        <w:pStyle w:val="Normal"/>
        <w:jc w:val="center"/>
        <w:rPr>
          <w:rFonts w:eastAsia="楷体_GB2312;楷体"/>
          <w:sz w:val="24"/>
        </w:rPr>
      </w:pPr>
      <w:r>
        <w:rPr>
          <w:rFonts w:eastAsia="楷体_GB2312;楷体"/>
          <w:sz w:val="24"/>
        </w:rPr>
      </w:r>
    </w:p>
    <w:sectPr>
      <w:footerReference w:type="default" r:id="rId8"/>
      <w:type w:val="nextPage"/>
      <w:pgSz w:w="11906" w:h="16838"/>
      <w:pgMar w:left="1797" w:right="1418" w:gutter="0" w:header="0" w:top="1440" w:footer="992" w:bottom="1440"/>
      <w:pgNumType w:start="1"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宋体">
    <w:altName w:val="SimSun"/>
    <w:charset w:val="86"/>
    <w:family w:val="auto"/>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r>
    <w:r>
      <w:rPr>
        <w:sz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r>
    <w:r>
      <w:rPr>
        <w:sz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r>
    <w:r>
      <w:rPr>
        <w:sz w:val="21"/>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r>
    <w:r>
      <w:rPr>
        <w:sz w:val="21"/>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r>
    <w:r>
      <w:rPr>
        <w:sz w:val="21"/>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napToGrid w:val="false"/>
      <w:spacing w:lineRule="auto" w:line="324"/>
      <w:jc w:val="both"/>
    </w:pPr>
    <w:rPr>
      <w:rFonts w:ascii="宋体;SimSun" w:hAnsi="宋体;SimSun" w:eastAsia="宋体;SimSun" w:cs="宋体;SimSun"/>
      <w:color w:val="auto"/>
      <w:kern w:val="2"/>
      <w:sz w:val="28"/>
      <w:szCs w:val="28"/>
      <w:lang w:val="en-US" w:eastAsia="zh-CN" w:bidi="ar-SA"/>
    </w:rPr>
  </w:style>
  <w:style w:type="paragraph" w:styleId="Heading3">
    <w:name w:val="Heading 3"/>
    <w:basedOn w:val="Normal"/>
    <w:next w:val="Normal"/>
    <w:qFormat/>
    <w:pPr>
      <w:numPr>
        <w:ilvl w:val="2"/>
        <w:numId w:val="1"/>
      </w:numPr>
      <w:spacing w:before="100" w:after="100"/>
      <w:jc w:val="left"/>
      <w:outlineLvl w:val="2"/>
    </w:pPr>
    <w:rPr>
      <w:rFonts w:ascii="宋体;SimSun" w:hAnsi="宋体;SimSun" w:eastAsia="宋体;SimSun" w:cs="宋体;SimSun"/>
      <w:b/>
      <w:bCs/>
      <w:kern w:val="0"/>
      <w:sz w:val="27"/>
      <w:szCs w:val="27"/>
      <w:lang w:val="en-US" w:eastAsia="zh-CN" w:bidi="ar"/>
    </w:rPr>
  </w:style>
  <w:style w:type="character" w:styleId="Style13">
    <w:name w:val="默认段落字体"/>
    <w:qFormat/>
    <w:rPr/>
  </w:style>
  <w:style w:type="character" w:styleId="StrongEmphasis">
    <w:name w:val="Strong Emphasis"/>
    <w:qFormat/>
    <w:rPr>
      <w:b/>
    </w:rPr>
  </w:style>
  <w:style w:type="character" w:styleId="PageNumber">
    <w:name w:val="Page Numbe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napToGrid w:val="true"/>
      <w:spacing w:lineRule="auto" w:line="240" w:before="0" w:after="120"/>
    </w:pPr>
    <w:rPr>
      <w:sz w:val="21"/>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4">
    <w:name w:val="正文缩进"/>
    <w:basedOn w:val="Normal"/>
    <w:qFormat/>
    <w:pPr>
      <w:ind w:firstLine="522"/>
    </w:pPr>
    <w:rPr/>
  </w:style>
  <w:style w:type="paragraph" w:styleId="TextBodyIndent">
    <w:name w:val="Body Text Indent"/>
    <w:basedOn w:val="Normal"/>
    <w:pPr>
      <w:snapToGrid w:val="true"/>
      <w:spacing w:lineRule="auto" w:line="360"/>
      <w:ind w:firstLine="420"/>
      <w:jc w:val="left"/>
    </w:pPr>
    <w:rPr>
      <w:sz w:val="21"/>
      <w:szCs w:val="24"/>
    </w:rPr>
  </w:style>
  <w:style w:type="paragraph" w:styleId="2">
    <w:name w:val="正文文本缩进 2"/>
    <w:basedOn w:val="Normal"/>
    <w:qFormat/>
    <w:pPr>
      <w:snapToGrid w:val="true"/>
      <w:spacing w:lineRule="auto" w:line="720"/>
      <w:ind w:firstLine="420"/>
    </w:pPr>
    <w:rPr>
      <w:rFonts w:ascii="宋体;SimSun" w:hAnsi="宋体;SimSun" w:cs="宋体;SimSun"/>
      <w:sz w:val="21"/>
      <w:szCs w:val="24"/>
    </w:rPr>
  </w:style>
  <w:style w:type="paragraph" w:styleId="HeaderandFooter">
    <w:name w:val="Header and Footer"/>
    <w:basedOn w:val="Normal"/>
    <w:qFormat/>
    <w:pPr>
      <w:suppressLineNumbers/>
      <w:tabs>
        <w:tab w:val="clear" w:pos="425"/>
        <w:tab w:val="center" w:pos="4986" w:leader="none"/>
        <w:tab w:val="right" w:pos="9972" w:leader="none"/>
      </w:tabs>
    </w:pPr>
    <w:rPr/>
  </w:style>
  <w:style w:type="paragraph" w:styleId="Footer">
    <w:name w:val="Footer"/>
    <w:basedOn w:val="Normal"/>
    <w:pPr>
      <w:tabs>
        <w:tab w:val="clear" w:pos="425"/>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Style15">
    <w:name w:val="普通(网站)"/>
    <w:basedOn w:val="Normal"/>
    <w:qFormat/>
    <w:pPr/>
    <w:rPr>
      <w:sz w:val="24"/>
    </w:rPr>
  </w:style>
  <w:style w:type="paragraph" w:styleId="1">
    <w:name w:val="正文1"/>
    <w:basedOn w:val="Normal"/>
    <w:qFormat/>
    <w:pPr>
      <w:spacing w:lineRule="exact" w:line="520"/>
      <w:ind w:firstLine="200"/>
    </w:pPr>
    <w:rPr>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footer" Target="footer4.xml"/><Relationship Id="rId7" Type="http://schemas.openxmlformats.org/officeDocument/2006/relationships/image" Target="media/image1.png"/><Relationship Id="rId8" Type="http://schemas.openxmlformats.org/officeDocument/2006/relationships/footer" Target="footer5.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Template>专利（2003版）.dot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2026-07-22T22:52:00Z</dcterms:created>
  <dc:creator>KYC</dc:creator>
  <dc:description/>
  <cp:keywords/>
  <dc:language>en-US</dc:language>
  <cp:lastModifiedBy>liu yueze</cp:lastModifiedBy>
  <cp:lastPrinted>2010-11-02T17:19:00Z</cp:lastPrinted>
  <dcterms:modified xsi:type="dcterms:W3CDTF">2026-07-22T22:52:00Z</dcterms:modified>
  <cp:revision>2</cp:revision>
  <dc:subject/>
  <dc:title>说   明   书   附   图</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317EC17926CD496E8C3CBF4C5344BA23_13</vt:lpwstr>
  </property>
  <property fmtid="{D5CDD505-2E9C-101B-9397-08002B2CF9AE}" pid="3" name="KSOProductBuildVer">
    <vt:lpwstr>2052-12.1.0.26895</vt:lpwstr>
  </property>
  <property fmtid="{D5CDD505-2E9C-101B-9397-08002B2CF9AE}" pid="4" name="KSOTemplateDocerSaveRecord">
    <vt:lpwstr>eyJoZGlkIjoiOTkyM2RmZjQwMDgzZmMxYmY2ZTc2ODNmYmVmY2JlMzIiLCJ1c2VySWQiOiI1ODg3Nzk2MTAifQ==</vt:lpwstr>
  </property>
  <property fmtid="{D5CDD505-2E9C-101B-9397-08002B2CF9AE}" pid="5" name="commondata">
    <vt:lpwstr>commondata</vt:lpwstr>
  </property>
</Properties>
</file>