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60"/>
        <w:jc w:val="center"/>
      </w:pPr>
      <w:r>
        <w:rPr>
          <w:rFonts w:ascii="Arial" w:cs="Arial" w:eastAsia="Arial" w:hAnsi="Arial"/>
          <w:b/>
          <w:bCs/>
          <w:caps/>
          <w:color w:val="1A4080"/>
          <w:sz w:val="26"/>
          <w:szCs w:val="26"/>
        </w:rPr>
        <w:t xml:space="preserve">UNIVERSIDAD AUTÓNOMA DE CHIAPAS</w:t>
      </w:r>
    </w:p>
    <w:p>
      <w:pPr>
        <w:spacing w:before="0" w:after="60"/>
        <w:jc w:val="center"/>
      </w:pPr>
      <w:r>
        <w:rPr>
          <w:rFonts w:ascii="Arial" w:cs="Arial" w:eastAsia="Arial" w:hAnsi="Arial"/>
          <w:color w:val="605850"/>
          <w:sz w:val="22"/>
          <w:szCs w:val="22"/>
        </w:rPr>
        <w:t xml:space="preserve">Facultad de Ciencias en Física y Matemáticas · IDTS</w:t>
      </w:r>
    </w:p>
    <w:p>
      <w:pPr>
        <w:pBdr>
          <w:bottom w:val="single" w:color="C9720E" w:sz="6" w:space="1"/>
        </w:pBdr>
        <w:spacing w:before="120" w:after="120"/>
        <w:jc w:val="center"/>
      </w:pPr>
    </w:p>
    <w:p>
      <w:pPr>
        <w:spacing w:before="180" w:after="60"/>
        <w:jc w:val="center"/>
      </w:pPr>
      <w:r>
        <w:rPr>
          <w:rFonts w:ascii="Arial" w:cs="Arial" w:eastAsia="Arial" w:hAnsi="Arial"/>
          <w:b/>
          <w:bCs/>
          <w:color w:val="1A4080"/>
          <w:sz w:val="40"/>
          <w:szCs w:val="40"/>
        </w:rPr>
        <w:t xml:space="preserve">MedIA — Expediente Clínico Electrónico</w:t>
      </w:r>
    </w:p>
    <w:p>
      <w:pPr>
        <w:spacing w:before="0" w:after="60"/>
        <w:jc w:val="center"/>
      </w:pPr>
      <w:r>
        <w:rPr>
          <w:rFonts w:ascii="Arial" w:cs="Arial" w:eastAsia="Arial" w:hAnsi="Arial"/>
          <w:color w:val="C9720E"/>
          <w:sz w:val="26"/>
          <w:szCs w:val="26"/>
        </w:rPr>
        <w:t xml:space="preserve">Distrito de Salud I · Tuxtla Gutiérrez, Chiapas</w:t>
      </w:r>
    </w:p>
    <w:p>
      <w:pPr>
        <w:pBdr>
          <w:bottom w:val="single" w:color="D4CEC4" w:sz="2" w:space="1"/>
        </w:pBdr>
        <w:spacing w:before="240" w:after="240"/>
        <w:jc w:val="center"/>
      </w:pPr>
    </w:p>
    <w:p>
      <w:pPr>
        <w:spacing w:before="240" w:after="80"/>
        <w:jc w:val="center"/>
      </w:pPr>
      <w:r>
        <w:rPr>
          <w:rFonts w:ascii="Arial" w:cs="Arial" w:eastAsia="Arial" w:hAnsi="Arial"/>
          <w:b/>
          <w:bCs/>
          <w:caps/>
          <w:color w:val="1A4080"/>
          <w:sz w:val="36"/>
          <w:szCs w:val="36"/>
        </w:rPr>
        <w:t xml:space="preserve">DOCUMENTO 3</w:t>
      </w:r>
    </w:p>
    <w:p>
      <w:pPr>
        <w:spacing w:before="0" w:after="300"/>
        <w:jc w:val="center"/>
      </w:pPr>
      <w:r>
        <w:rPr>
          <w:rFonts w:ascii="Arial" w:cs="Arial" w:eastAsia="Arial" w:hAnsi="Arial"/>
          <w:b/>
          <w:bCs/>
          <w:color w:val="1A1510"/>
          <w:sz w:val="30"/>
          <w:szCs w:val="30"/>
        </w:rPr>
        <w:t xml:space="preserve">Módulos del Sistema y API REST</w:t>
      </w:r>
    </w:p>
    <w:p>
      <w:pPr>
        <w:spacing w:before="300" w:after="60"/>
        <w:jc w:val="center"/>
      </w:pPr>
      <w:r>
        <w:rPr>
          <w:rFonts w:ascii="Arial" w:cs="Arial" w:eastAsia="Arial" w:hAnsi="Arial"/>
          <w:color w:val="605850"/>
          <w:sz w:val="20"/>
          <w:szCs w:val="20"/>
        </w:rPr>
        <w:t xml:space="preserve">8° Semestre · IDTS · UNACH · Cómputo Distribuido · Enero–Junio 2026</w:t>
      </w:r>
    </w:p>
    <w:p>
      <w:r>
        <w:br w:type="page"/>
      </w:r>
    </w:p>
    <w:p>
      <w:pPr>
        <w:pStyle w:val="Heading1"/>
        <w:spacing w:before="360" w:after="180"/>
      </w:pPr>
      <w:r>
        <w:rPr>
          <w:rFonts w:ascii="Arial" w:cs="Arial" w:eastAsia="Arial" w:hAnsi="Arial"/>
          <w:b/>
          <w:bCs/>
          <w:color w:val="1A4080"/>
          <w:sz w:val="32"/>
          <w:szCs w:val="32"/>
        </w:rPr>
        <w:t xml:space="preserve">Módulos y API REST — Referencia Técnica</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Este documento describe cada módulo del sistema MedIA, sus endpoints REST, los schemas de request/response, las tablas de base de datos que afecta y las reglas de negocio que aplica. La base URL en desarrollo es http://localhost:8000. Todos los endpoints excepto /auth/login y /auth/refresh requieren el header Authorization: Bearer {access_token}.</w:t>
      </w:r>
    </w:p>
    <w:p>
      <w:pPr>
        <w:spacing w:before="80" w:after="80"/>
      </w:pPr>
      <w:r>
        <w:rPr>
          <w:rFonts w:ascii="Arial" w:cs="Arial" w:eastAsia="Arial" w:hAnsi="Arial"/>
          <w:b/>
          <w:bCs/>
          <w:color w:val="1A1510"/>
          <w:sz w:val="19"/>
          <w:szCs w:val="19"/>
        </w:rPr>
        <w:t xml:space="preserve">Convención de códigos HTTP usados: </w:t>
      </w:r>
      <w:r>
        <w:rPr>
          <w:rFonts w:ascii="Arial" w:cs="Arial" w:eastAsia="Arial" w:hAnsi="Arial"/>
          <w:color w:val="605850"/>
          <w:sz w:val="19"/>
          <w:szCs w:val="19"/>
        </w:rPr>
        <w:t xml:space="preserve">200 OK · 201 Created · 204 No Content · 400 Bad Request · 401 Unauthorized · 403 Forbidden · 404 Not Found · 422 Unprocessable Entity</w:t>
      </w:r>
    </w:p>
    <w:p>
      <w:r>
        <w:br w:type="page"/>
      </w:r>
    </w:p>
    <w:p>
      <w:pPr>
        <w:pStyle w:val="Heading2"/>
        <w:spacing w:before="280" w:after="140"/>
      </w:pPr>
      <w:r>
        <w:rPr>
          <w:rFonts w:ascii="Arial" w:cs="Arial" w:eastAsia="Arial" w:hAnsi="Arial"/>
          <w:b/>
          <w:bCs/>
          <w:color w:val="2459A8"/>
          <w:sz w:val="26"/>
          <w:szCs w:val="26"/>
        </w:rPr>
        <w:t xml:space="preserve">Módulo 1 — Autenticación (auth)</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Gestiona el ciclo completo de identidad: login con 2FA, refresh de tokens JWT, revocación de sesiones y gestión del segundo factor TOTP. Implementa las reglas de seguridad del Req 1, 4 y 8 de Cómputo Forense.</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usuarios_sistema, sesiones_invalidas, auditoria_accesos</w:t>
      </w:r>
    </w:p>
    <w:p>
      <w:pPr>
        <w:spacing w:before="220" w:after="100"/>
      </w:pPr>
      <w:r>
        <w:rPr>
          <w:rFonts w:ascii="Arial" w:cs="Arial" w:eastAsia="Arial" w:hAnsi="Arial"/>
          <w:b/>
          <w:bCs/>
          <w:color w:val="C9720E"/>
          <w:sz w:val="22"/>
          <w:szCs w:val="22"/>
        </w:rPr>
        <w:t xml:space="preserve">Reglas aplicadas</w:t>
      </w:r>
    </w:p>
    <w:p>
      <w:pPr>
        <w:pStyle w:val="ListParagraph"/>
        <w:numPr>
          <w:ilvl w:val="0"/>
          <w:numId w:val="2"/>
        </w:numPr>
        <w:spacing w:before="50" w:after="50"/>
      </w:pPr>
      <w:r>
        <w:rPr>
          <w:rFonts w:ascii="Arial" w:cs="Arial" w:eastAsia="Arial" w:hAnsi="Arial"/>
          <w:color w:val="1A1510"/>
          <w:sz w:val="19"/>
          <w:szCs w:val="19"/>
        </w:rPr>
        <w:t xml:space="preserve">Req 1 Forense: CADA evento de login (exitoso o fallido) se registra en auditoria_accesos con IP (INET), usuario, resultado.</w:t>
      </w:r>
    </w:p>
    <w:p>
      <w:pPr>
        <w:pStyle w:val="ListParagraph"/>
        <w:numPr>
          <w:ilvl w:val="0"/>
          <w:numId w:val="2"/>
        </w:numPr>
        <w:spacing w:before="50" w:after="50"/>
      </w:pPr>
      <w:r>
        <w:rPr>
          <w:rFonts w:ascii="Arial" w:cs="Arial" w:eastAsia="Arial" w:hAnsi="Arial"/>
          <w:color w:val="1A1510"/>
          <w:sz w:val="19"/>
          <w:szCs w:val="19"/>
        </w:rPr>
        <w:t xml:space="preserve">Req 4 Forense: timestamps en TIMESTAMPTZ UTC, generados por el servidor PostgreSQL.</w:t>
      </w:r>
    </w:p>
    <w:p>
      <w:pPr>
        <w:pStyle w:val="ListParagraph"/>
        <w:numPr>
          <w:ilvl w:val="0"/>
          <w:numId w:val="2"/>
        </w:numPr>
        <w:spacing w:before="50" w:after="50"/>
      </w:pPr>
      <w:r>
        <w:rPr>
          <w:rFonts w:ascii="Arial" w:cs="Arial" w:eastAsia="Arial" w:hAnsi="Arial"/>
          <w:color w:val="1A1510"/>
          <w:sz w:val="19"/>
          <w:szCs w:val="19"/>
        </w:rPr>
        <w:t xml:space="preserve">Req 8 Forense: contraseñas con Argon2id. totp_secret cifrado con Fernet. Sin hardcoding.</w:t>
      </w:r>
    </w:p>
    <w:p>
      <w:pPr>
        <w:pStyle w:val="ListParagraph"/>
        <w:numPr>
          <w:ilvl w:val="0"/>
          <w:numId w:val="2"/>
        </w:numPr>
        <w:spacing w:before="50" w:after="50"/>
      </w:pPr>
      <w:r>
        <w:rPr>
          <w:rFonts w:ascii="Arial" w:cs="Arial" w:eastAsia="Arial" w:hAnsi="Arial"/>
          <w:color w:val="1A1510"/>
          <w:sz w:val="19"/>
          <w:szCs w:val="19"/>
        </w:rPr>
        <w:t xml:space="preserve">Bloqueo automático: trigger tr_bloqueo_por_intentos activa bloqueado_hasta tras 5 intentos fallidos.</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/auth/login</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No</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Login paso 1: verifica username+password. Si 2FA habilitado, devuelve requires_2fa: true y un totp_challenge_token temporal.</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/auth/2fa/verify</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totp_challenge</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Login paso 2: valida código TOTP de 6 dígitos. Si correcto, devuelve access_token y refresh_token.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/auth/refresh</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refresh_token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Rota el access_token usando el refresh_token activo. Invalida el refresh anterior (rotación de tokens).</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/auth/logout</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Invalida el access_token y el refresh_token insertándolos en sesiones_invalidas. Audita con motivo CIERRE_MANUAL.</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/auth/2fa/setup</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Genera un nuevo totp_secret cifrado y retorna la URL de QR para registrar en Authenticator.</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/auth/2fa/verify-setup</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Confirma que el usuario puede generar el código correctamente y activa totp_habilitado=true.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/auth/me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Devuelve los datos del usuario autenticado: id, nombre, rol, establecimiento activo, cédula.</w:t>
            </w:r>
          </w:p>
        </w:tc>
      </w:tr>
    </w:tbl>
    <w:p>
      <w:pPr>
        <w:spacing w:before="80" w:after="60"/>
      </w:pPr>
      <w:r>
        <w:rPr>
          <w:rFonts w:ascii="Arial" w:cs="Arial" w:eastAsia="Arial" w:hAnsi="Arial"/>
          <w:b/>
          <w:bCs/>
          <w:color w:val="2459A8"/>
          <w:sz w:val="19"/>
          <w:szCs w:val="19"/>
        </w:rPr>
        <w:t xml:space="preserve">Request: 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username</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(max 50)</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Nombre de usuario del sistema (ej: dr.morales)</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password</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Contraseña en texto plano. El backend aplica Argon2id verify.</w:t>
            </w:r>
          </w:p>
        </w:tc>
      </w:tr>
    </w:tbl>
    <w:p>
      <w:pPr>
        <w:spacing w:before="80" w:after="60"/>
      </w:pPr>
      <w:r>
        <w:rPr>
          <w:rFonts w:ascii="Arial" w:cs="Arial" w:eastAsia="Arial" w:hAnsi="Arial"/>
          <w:b/>
          <w:bCs/>
          <w:color w:val="2459A8"/>
          <w:sz w:val="19"/>
          <w:szCs w:val="19"/>
        </w:rPr>
        <w:t xml:space="preserve">Response: POST /auth/login (sin 2FA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access_token</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(JWT)</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Token de acceso válido por 15 minutos. Se almacena en memoria.</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token_type</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Siempre 'bearer'.</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requires_2fa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boolean</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false cuando 2FA no está habilitado para el usuario.</w:t>
            </w:r>
          </w:p>
        </w:tc>
      </w:tr>
    </w:tbl>
    <w:p>
      <w:pPr>
        <w:spacing w:before="80" w:after="60"/>
      </w:pPr>
      <w:r>
        <w:rPr>
          <w:rFonts w:ascii="Arial" w:cs="Arial" w:eastAsia="Arial" w:hAnsi="Arial"/>
          <w:b/>
          <w:bCs/>
          <w:color w:val="2459A8"/>
          <w:sz w:val="19"/>
          <w:szCs w:val="19"/>
        </w:rPr>
        <w:t xml:space="preserve">Response: POST /auth/2fa/verify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access_token</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(JWT)</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JWT con claims: sub (id_usuario), rol, id_establecimiento, exp.</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refresh_token</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(JWT)</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Token de larga duración (7 días). Solo se usa para rotar el access_token.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token_type</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Siempre 'bearer'.</w:t>
            </w:r>
          </w:p>
        </w:tc>
      </w:tr>
    </w:tbl>
    <w:p>
      <w:r>
        <w:br w:type="page"/>
      </w:r>
    </w:p>
    <w:p>
      <w:pPr>
        <w:pStyle w:val="Heading2"/>
        <w:spacing w:before="280" w:after="140"/>
      </w:pPr>
      <w:r>
        <w:rPr>
          <w:rFonts w:ascii="Arial" w:cs="Arial" w:eastAsia="Arial" w:hAnsi="Arial"/>
          <w:b/>
          <w:bCs/>
          <w:color w:val="2459A8"/>
          <w:sz w:val="26"/>
          <w:szCs w:val="26"/>
        </w:rPr>
        <w:t xml:space="preserve">Módulo 2 — Personas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Gestión de la entidad base de identidad. Una persona puede ser paciente, usuario del sistema, o representante legal. El módulo incluye los catálogos geográficos INEGI (estados, municipios, localidades) y de lenguas indígenas.</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personas, cat_estados, cat_municipios, cat_localidades, cat_lenguas_indigenas</w:t>
      </w:r>
    </w:p>
    <w:p>
      <w:pPr>
        <w:spacing w:before="220" w:after="100"/>
      </w:pPr>
      <w:r>
        <w:rPr>
          <w:rFonts w:ascii="Arial" w:cs="Arial" w:eastAsia="Arial" w:hAnsi="Arial"/>
          <w:b/>
          <w:bCs/>
          <w:color w:val="C9720E"/>
          <w:sz w:val="22"/>
          <w:szCs w:val="22"/>
        </w:rPr>
        <w:t xml:space="preserve">Consideraciones normativas</w:t>
      </w:r>
    </w:p>
    <w:p>
      <w:pPr>
        <w:pStyle w:val="ListParagraph"/>
        <w:numPr>
          <w:ilvl w:val="0"/>
          <w:numId w:val="2"/>
        </w:numPr>
        <w:spacing w:before="50" w:after="50"/>
      </w:pPr>
      <w:r>
        <w:rPr>
          <w:rFonts w:ascii="Arial" w:cs="Arial" w:eastAsia="Arial" w:hAnsi="Arial"/>
          <w:color w:val="1A1510"/>
          <w:sz w:val="19"/>
          <w:szCs w:val="19"/>
        </w:rPr>
        <w:t xml:space="preserve">CURP es NULL permitido: poblaciones indígenas de Chiapas pueden carecer de ella al momento de la consulta (decisión de diseño para inclusión).</w:t>
      </w:r>
    </w:p>
    <w:p>
      <w:pPr>
        <w:pStyle w:val="ListParagraph"/>
        <w:numPr>
          <w:ilvl w:val="0"/>
          <w:numId w:val="2"/>
        </w:numPr>
        <w:spacing w:before="50" w:after="50"/>
      </w:pPr>
      <w:r>
        <w:rPr>
          <w:rFonts w:ascii="Arial" w:cs="Arial" w:eastAsia="Arial" w:hAnsi="Arial"/>
          <w:color w:val="1A1510"/>
          <w:sz w:val="19"/>
          <w:szCs w:val="19"/>
        </w:rPr>
        <w:t xml:space="preserve">Domicilio estructurado con FK a cat_localidades (catálogo INEGI), no texto libre. El campo referencia_geografica captura direcciones rurales no formales.</w:t>
      </w:r>
    </w:p>
    <w:p>
      <w:pPr>
        <w:pStyle w:val="ListParagraph"/>
        <w:numPr>
          <w:ilvl w:val="0"/>
          <w:numId w:val="2"/>
        </w:numPr>
        <w:spacing w:before="50" w:after="50"/>
      </w:pPr>
      <w:r>
        <w:rPr>
          <w:rFonts w:ascii="Arial" w:cs="Arial" w:eastAsia="Arial" w:hAnsi="Arial"/>
          <w:color w:val="1A1510"/>
          <w:sz w:val="19"/>
          <w:szCs w:val="19"/>
        </w:rPr>
        <w:t xml:space="preserve">id_lengua_materna activa alerta visual de barrera lingüística en el módulo de encuentros.</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/personas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una nueva persona. Valida que CURP sea único si se proporciona.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/personas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personas con paginación. Filtros: nombre, primer_apellido, curp.</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/personas/{id}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Detalle completo de una persona.</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/personas/{id}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datos demográficos. El cambio se registra en historial_cambios.</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/catalogos/estados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Catálogo de estados (32). Servido desde CDN en producción.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/catalogos/municipios?estado={clave}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Municipios del estado. Para Chiapas (07): 124 municipios.</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/catalogos/localidades?municipio={clave}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Localidades del municipio filtrando por tipo (URBANA/RURAL).</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/catalogos/lenguas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de lenguas indígenas del catálogo INALI.</w:t>
            </w:r>
          </w:p>
        </w:tc>
      </w:tr>
    </w:tbl>
    <w:p>
      <w:r>
        <w:br w:type="page"/>
      </w:r>
    </w:p>
    <w:p>
      <w:pPr>
        <w:pStyle w:val="Heading2"/>
        <w:spacing w:before="280" w:after="140"/>
      </w:pPr>
      <w:r>
        <w:rPr>
          <w:rFonts w:ascii="Arial" w:cs="Arial" w:eastAsia="Arial" w:hAnsi="Arial"/>
          <w:b/>
          <w:bCs/>
          <w:color w:val="2459A8"/>
          <w:sz w:val="26"/>
          <w:szCs w:val="26"/>
        </w:rPr>
        <w:t xml:space="preserve">Módulo 3 — Pacientes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Materializa la relación asistencial de una persona con el sistema de salud. El número de expediente es el identificador médico-legal requerido por NOM-004. Una persona puede convertirse en paciente en cualquier establecimiento del Distrito.</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pacientes, pacientes_tutores_representantes, personas</w:t>
      </w:r>
    </w:p>
    <w:p>
      <w:pPr>
        <w:spacing w:before="220" w:after="100"/>
      </w:pPr>
      <w:r>
        <w:rPr>
          <w:rFonts w:ascii="Arial" w:cs="Arial" w:eastAsia="Arial" w:hAnsi="Arial"/>
          <w:b/>
          <w:bCs/>
          <w:color w:val="C9720E"/>
          <w:sz w:val="22"/>
          <w:szCs w:val="22"/>
        </w:rPr>
        <w:t xml:space="preserve">Reglas de negocio aplicadas</w:t>
      </w:r>
    </w:p>
    <w:p>
      <w:pPr>
        <w:pStyle w:val="ListParagraph"/>
        <w:numPr>
          <w:ilvl w:val="0"/>
          <w:numId w:val="2"/>
        </w:numPr>
        <w:spacing w:before="50" w:after="50"/>
      </w:pPr>
      <w:r>
        <w:rPr>
          <w:rFonts w:ascii="Arial" w:cs="Arial" w:eastAsia="Arial" w:hAnsi="Arial"/>
          <w:color w:val="1A1510"/>
          <w:sz w:val="19"/>
          <w:szCs w:val="19"/>
        </w:rPr>
        <w:t xml:space="preserve">Regla 1: los datos básicos de la persona (demografía) son visibles para cualquier médico con encuentro activo, sin restricción de establecimiento.</w:t>
      </w:r>
    </w:p>
    <w:p>
      <w:pPr>
        <w:pStyle w:val="ListParagraph"/>
        <w:numPr>
          <w:ilvl w:val="0"/>
          <w:numId w:val="2"/>
        </w:numPr>
        <w:spacing w:before="50" w:after="50"/>
      </w:pPr>
      <w:r>
        <w:rPr>
          <w:rFonts w:ascii="Arial" w:cs="Arial" w:eastAsia="Arial" w:hAnsi="Arial"/>
          <w:color w:val="1A1510"/>
          <w:sz w:val="19"/>
          <w:szCs w:val="19"/>
        </w:rPr>
        <w:t xml:space="preserve">NOM-004: el número_expediente se genera automáticamente con formato EXP-YYYY-{secuencia} al crear el paciente.</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Crea un nuevo paciente a partir de una persona ya registrada. Genera numero_expediente automáticamente.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pacientes con búsqueda por nombre, apellido, número de expediente. Paginado.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Ficha completa del paciente con datos de persona y expediente.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/pacientes/{id}/expediente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Expediente completo: antecedentes, alergias, inmunizaciones, encuentros previos. Aplica Reglas 1, 2 y 3.</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/pacientes/{id}/tutores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representante legal. Requiere documento_legal subido previamente a Azure Blob.</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/pacientes/{id}/tutores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representantes activos del paciente.</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/pacientes/{id}/tutores/{id_repr}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Borrado lógico del representante. Requiere motivo_baja. Trigger tr_soft_delete registra en auditoria.</w:t>
            </w:r>
          </w:p>
        </w:tc>
      </w:tr>
    </w:tbl>
    <w:p>
      <w:r>
        <w:br w:type="page"/>
      </w:r>
    </w:p>
    <w:p>
      <w:pPr>
        <w:pStyle w:val="Heading2"/>
        <w:spacing w:before="280" w:after="140"/>
      </w:pPr>
      <w:r>
        <w:rPr>
          <w:rFonts w:ascii="Arial" w:cs="Arial" w:eastAsia="Arial" w:hAnsi="Arial"/>
          <w:b/>
          <w:bCs/>
          <w:color w:val="2459A8"/>
          <w:sz w:val="26"/>
          <w:szCs w:val="26"/>
        </w:rPr>
        <w:t xml:space="preserve">Módulo 4 — Expediente (Antecedentes, Alergias, Inmunizaciones)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Gestión del historial clínico permanente del paciente. Todos los subMódulos implementan soft delete forense (Req 6 Cómputo Forense). Los DELETE físicos están prohibidos por permisos de BD.</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antecedentes_heredofamiliares, antecedentes_patologicos, antecedentes_no_patologicos, antecedentes_ginecoobstetricos, alergias, inmunizaciones, historial_cambios</w:t>
      </w:r>
    </w:p>
    <w:p>
      <w:pPr>
        <w:spacing w:before="220" w:after="100"/>
      </w:pPr>
      <w:r>
        <w:rPr>
          <w:rFonts w:ascii="Arial" w:cs="Arial" w:eastAsia="Arial" w:hAnsi="Arial"/>
          <w:b/>
          <w:bCs/>
          <w:color w:val="C9720E"/>
          <w:sz w:val="22"/>
          <w:szCs w:val="22"/>
        </w:rPr>
        <w:t xml:space="preserve">Reglas de negocio y seguridad</w:t>
      </w:r>
    </w:p>
    <w:p>
      <w:pPr>
        <w:pStyle w:val="ListParagraph"/>
        <w:numPr>
          <w:ilvl w:val="0"/>
          <w:numId w:val="2"/>
        </w:numPr>
        <w:spacing w:before="50" w:after="50"/>
      </w:pPr>
      <w:r>
        <w:rPr>
          <w:rFonts w:ascii="Arial" w:cs="Arial" w:eastAsia="Arial" w:hAnsi="Arial"/>
          <w:color w:val="1A1510"/>
          <w:sz w:val="19"/>
          <w:szCs w:val="19"/>
        </w:rPr>
        <w:t xml:space="preserve">Req 6 Forense: NINGUNA tabla del expediente permite DELETE físico. Solo borrado lógico con eliminado_en, eliminado_por y motivo_baja obligatorio.</w:t>
      </w:r>
    </w:p>
    <w:p>
      <w:pPr>
        <w:pStyle w:val="ListParagraph"/>
        <w:numPr>
          <w:ilvl w:val="0"/>
          <w:numId w:val="2"/>
        </w:numPr>
        <w:spacing w:before="50" w:after="50"/>
      </w:pPr>
      <w:r>
        <w:rPr>
          <w:rFonts w:ascii="Arial" w:cs="Arial" w:eastAsia="Arial" w:hAnsi="Arial"/>
          <w:color w:val="1A1510"/>
          <w:sz w:val="19"/>
          <w:szCs w:val="19"/>
        </w:rPr>
        <w:t xml:space="preserve">Regla 1: alergias y antecedentes visibles para cualquier médico con encuentro activo, independientemente del establecimiento.</w:t>
      </w:r>
    </w:p>
    <w:p>
      <w:pPr>
        <w:pStyle w:val="ListParagraph"/>
        <w:numPr>
          <w:ilvl w:val="0"/>
          <w:numId w:val="2"/>
        </w:numPr>
        <w:spacing w:before="50" w:after="50"/>
      </w:pPr>
      <w:r>
        <w:rPr>
          <w:rFonts w:ascii="Arial" w:cs="Arial" w:eastAsia="Arial" w:hAnsi="Arial"/>
          <w:color w:val="1A1510"/>
          <w:sz w:val="19"/>
          <w:szCs w:val="19"/>
        </w:rPr>
        <w:t xml:space="preserve">Alerta de alergia: severidad CRÍTICA genera badge rojo prominente en el header de la consulta.</w:t>
      </w:r>
    </w:p>
    <w:p>
      <w:pPr>
        <w:pStyle w:val="ListParagraph"/>
        <w:numPr>
          <w:ilvl w:val="0"/>
          <w:numId w:val="2"/>
        </w:numPr>
        <w:spacing w:before="50" w:after="50"/>
      </w:pPr>
      <w:r>
        <w:rPr>
          <w:rFonts w:ascii="Arial" w:cs="Arial" w:eastAsia="Arial" w:hAnsi="Arial"/>
          <w:color w:val="1A1510"/>
          <w:sz w:val="19"/>
          <w:szCs w:val="19"/>
        </w:rPr>
        <w:t xml:space="preserve">Antecedentes ginecoobstétricos: el backend valida que sexo del paciente sea 'F' antes de permitir creación.</w:t>
      </w:r>
    </w:p>
    <w:p>
      <w:pPr>
        <w:spacing w:before="220" w:after="100"/>
      </w:pPr>
      <w:r>
        <w:rPr>
          <w:rFonts w:ascii="Arial" w:cs="Arial" w:eastAsia="Arial" w:hAnsi="Arial"/>
          <w:b/>
          <w:bCs/>
          <w:color w:val="C9720E"/>
          <w:sz w:val="22"/>
          <w:szCs w:val="22"/>
        </w:rPr>
        <w:t xml:space="preserve">Endpoints — Alergias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/pacientes/{id}/alergias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alergias activas del paciente ordenadas por severidad (CRITICA primero).</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/pacientes/{id}/alergias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nueva alergia. Audita creación en historial_cambios.</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/pacientes/{id}/alergias/{id_alergia}</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severidad u observaciones. Trigger registra cambio en historial_cambios.</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/pacientes/{id}/alergias/{id_alergia}</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Borrado lógico. Requiere motivo_baja. Trigger tr_soft_delete registra en auditoria_accesos con nivel ALTO.</w:t>
            </w:r>
          </w:p>
        </w:tc>
      </w:tr>
    </w:tbl>
    <w:p>
      <w:pPr>
        <w:spacing w:before="220" w:after="100"/>
      </w:pPr>
      <w:r>
        <w:rPr>
          <w:rFonts w:ascii="Arial" w:cs="Arial" w:eastAsia="Arial" w:hAnsi="Arial"/>
          <w:b/>
          <w:bCs/>
          <w:color w:val="C9720E"/>
          <w:sz w:val="22"/>
          <w:szCs w:val="22"/>
        </w:rPr>
        <w:t xml:space="preserve">Endpoints — Antecedentes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Devuelve los 4 tipos de antecedentes del paciente en un objeto estructurado.</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/pacientes/{id}/antecedentes/heredofamiliares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antecedente hereditario. Validado y auditado.</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/pacientes/{id}/antecedentes/patologicos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antecedente patológico personal.</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/pacientes/{id}/antecedentes/no-patologicos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determinante social de la salud.</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/pacientes/{id}/antecedentes/ginecoobstetricos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Solo pacientes con sexo='F'. Registra datos reproductivos.</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/pacientes/{id}/antecedentes/{tipo}/{id_ant}</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Borrado lógico con motivo_baja obligatorio.</w:t>
            </w:r>
          </w:p>
        </w:tc>
      </w:tr>
    </w:tbl>
    <w:p>
      <w:pPr>
        <w:spacing w:before="220" w:after="100"/>
      </w:pPr>
      <w:r>
        <w:rPr>
          <w:rFonts w:ascii="Arial" w:cs="Arial" w:eastAsia="Arial" w:hAnsi="Arial"/>
          <w:b/>
          <w:bCs/>
          <w:color w:val="C9720E"/>
          <w:sz w:val="22"/>
          <w:szCs w:val="22"/>
        </w:rPr>
        <w:t xml:space="preserve">Endpoints — Inmunizaciones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/pacientes/{id}/inmunizaciones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historial vacunal del paciente.</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/pacientes/{id}/inmunizaciones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vacuna aplicada conforme al Esquema Nacional.</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/pacientes/{id}/inmunizaciones/{id_vac}</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Borrado lógico con motivo_baja.</w:t>
            </w:r>
          </w:p>
        </w:tc>
      </w:tr>
    </w:tbl>
    <w:p>
      <w:r>
        <w:br w:type="page"/>
      </w:r>
    </w:p>
    <w:p>
      <w:pPr>
        <w:pStyle w:val="Heading2"/>
        <w:spacing w:before="280" w:after="140"/>
      </w:pPr>
      <w:r>
        <w:rPr>
          <w:rFonts w:ascii="Arial" w:cs="Arial" w:eastAsia="Arial" w:hAnsi="Arial"/>
          <w:b/>
          <w:bCs/>
          <w:color w:val="2459A8"/>
          <w:sz w:val="26"/>
          <w:szCs w:val="26"/>
        </w:rPr>
        <w:t xml:space="preserve">Módulo 5 — Encuentros Clínicos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Un encuentro clínico es la unidad central del acto médico. Agrupa todas las interacciones de una consulta: notas SOAP, signos vitales, diagnósticos, prescripciones y solicitudes de estudio.</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encuentros_clinicos, notas_medicas, notas_soap_detalle, auditoria_accesos</w:t>
      </w:r>
    </w:p>
    <w:p>
      <w:pPr>
        <w:spacing w:before="220" w:after="100"/>
      </w:pPr>
      <w:r>
        <w:rPr>
          <w:rFonts w:ascii="Arial" w:cs="Arial" w:eastAsia="Arial" w:hAnsi="Arial"/>
          <w:b/>
          <w:bCs/>
          <w:color w:val="C9720E"/>
          <w:sz w:val="22"/>
          <w:szCs w:val="22"/>
        </w:rPr>
        <w:t xml:space="preserve">Reglas de negocio</w:t>
      </w:r>
    </w:p>
    <w:p>
      <w:pPr>
        <w:pStyle w:val="ListParagraph"/>
        <w:numPr>
          <w:ilvl w:val="0"/>
          <w:numId w:val="2"/>
        </w:numPr>
        <w:spacing w:before="50" w:after="50"/>
      </w:pPr>
      <w:r>
        <w:rPr>
          <w:rFonts w:ascii="Arial" w:cs="Arial" w:eastAsia="Arial" w:hAnsi="Arial"/>
          <w:color w:val="1A1510"/>
          <w:sz w:val="19"/>
          <w:szCs w:val="19"/>
        </w:rPr>
        <w:t xml:space="preserve">NOM-004: la fecha_inicio se registra con TIMESTAMPTZ del servidor (UTC). No editable por el cliente.</w:t>
      </w:r>
    </w:p>
    <w:p>
      <w:pPr>
        <w:pStyle w:val="ListParagraph"/>
        <w:numPr>
          <w:ilvl w:val="0"/>
          <w:numId w:val="2"/>
        </w:numPr>
        <w:spacing w:before="50" w:after="50"/>
      </w:pPr>
      <w:r>
        <w:rPr>
          <w:rFonts w:ascii="Arial" w:cs="Arial" w:eastAsia="Arial" w:hAnsi="Arial"/>
          <w:color w:val="1A1510"/>
          <w:sz w:val="19"/>
          <w:szCs w:val="19"/>
        </w:rPr>
        <w:t xml:space="preserve">El cierre de un encuentro (PATCH /cerrar) es irreversible y activa la generación del PDF resumen.</w:t>
      </w:r>
    </w:p>
    <w:p>
      <w:pPr>
        <w:pStyle w:val="ListParagraph"/>
        <w:numPr>
          <w:ilvl w:val="0"/>
          <w:numId w:val="2"/>
        </w:numPr>
        <w:spacing w:before="50" w:after="50"/>
      </w:pPr>
      <w:r>
        <w:rPr>
          <w:rFonts w:ascii="Arial" w:cs="Arial" w:eastAsia="Arial" w:hAnsi="Arial"/>
          <w:color w:val="1A1510"/>
          <w:sz w:val="19"/>
          <w:szCs w:val="19"/>
        </w:rPr>
        <w:t xml:space="preserve">Regla 4: apertura y cierre registrados en auditoria_accesos con nivel_severidad MEDIO.</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Abre un encuentro clínico para un paciente. Registra el médico, establecimiento y motivo de consulta.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encuentros activos del establecimiento actual del médico autenticado.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Detalle del encuentro con todos los subcomponentes (notas, signos, diagnósticos).</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/encuentros/{id}/cerrar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Cierra el encuentro. Requiere que al menos una nota SOAP esté firmada.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/pacientes/{id}/encuentros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Historial de encuentros del paciente. Aplica Regla 2 y 3 para acceso cross-establecimiento.</w:t>
            </w:r>
          </w:p>
        </w:tc>
      </w:tr>
    </w:tbl>
    <w:p>
      <w:pPr>
        <w:spacing w:before="80" w:after="60"/>
      </w:pPr>
      <w:r>
        <w:rPr>
          <w:rFonts w:ascii="Arial" w:cs="Arial" w:eastAsia="Arial" w:hAnsi="Arial"/>
          <w:b/>
          <w:bCs/>
          <w:color w:val="2459A8"/>
          <w:sz w:val="19"/>
          <w:szCs w:val="19"/>
        </w:rPr>
        <w:t xml:space="preserve">Request: POST /encuentros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id_paciente</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UUID</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ID del paciente que será atendido.</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motivo_consulta</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Motivo de consulta en palabras del paciente. Requerido por NOM-004.</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tipo_consulta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enum</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PRIMERA_VEZ | SUBSECUENTE. Determina si se requiere historia clínica completa.</w:t>
            </w:r>
          </w:p>
        </w:tc>
      </w:tr>
    </w:tbl>
    <w:p>
      <w:r>
        <w:br w:type="page"/>
      </w:r>
    </w:p>
    <w:p>
      <w:pPr>
        <w:pStyle w:val="Heading2"/>
        <w:spacing w:before="280" w:after="140"/>
      </w:pPr>
      <w:r>
        <w:rPr>
          <w:rFonts w:ascii="Arial" w:cs="Arial" w:eastAsia="Arial" w:hAnsi="Arial"/>
          <w:b/>
          <w:bCs/>
          <w:color w:val="2459A8"/>
          <w:sz w:val="26"/>
          <w:szCs w:val="26"/>
        </w:rPr>
        <w:t xml:space="preserve">Módulo 6 — Notas Médicas y SOAP</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Implementa la metodología SOAP (Subjetivo, Objetivo, Análisis, Plan) requerida por NOM-004-SSA3-2012. Una nota firmada es inmutable: el trigger tr_notes_protection en PostgreSQL bloquea cualquier modificación posterior.</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notas_medicas, notas_soap_detalle, notas_enmienda, historial_cambios, auditoria_accesos</w:t>
      </w:r>
    </w:p>
    <w:p>
      <w:pPr>
        <w:spacing w:before="220" w:after="100"/>
      </w:pPr>
      <w:r>
        <w:rPr>
          <w:rFonts w:ascii="Arial" w:cs="Arial" w:eastAsia="Arial" w:hAnsi="Arial"/>
          <w:b/>
          <w:bCs/>
          <w:color w:val="C9720E"/>
          <w:sz w:val="22"/>
          <w:szCs w:val="22"/>
        </w:rPr>
        <w:t xml:space="preserve">Reglas de negocio y normativa</w:t>
      </w:r>
    </w:p>
    <w:p>
      <w:pPr>
        <w:pStyle w:val="ListParagraph"/>
        <w:numPr>
          <w:ilvl w:val="0"/>
          <w:numId w:val="2"/>
        </w:numPr>
        <w:spacing w:before="50" w:after="50"/>
      </w:pPr>
      <w:r>
        <w:rPr>
          <w:rFonts w:ascii="Arial" w:cs="Arial" w:eastAsia="Arial" w:hAnsi="Arial"/>
          <w:color w:val="1A1510"/>
          <w:sz w:val="19"/>
          <w:szCs w:val="19"/>
        </w:rPr>
        <w:t xml:space="preserve">NOM-004 § 5.10: inmutabilidad del acto médico firmado. Una vez esta_firmada=TRUE, el trigger bloquea UPDATE a nivel de BD.</w:t>
      </w:r>
    </w:p>
    <w:p>
      <w:pPr>
        <w:pStyle w:val="ListParagraph"/>
        <w:numPr>
          <w:ilvl w:val="0"/>
          <w:numId w:val="2"/>
        </w:numPr>
        <w:spacing w:before="50" w:after="50"/>
      </w:pPr>
      <w:r>
        <w:rPr>
          <w:rFonts w:ascii="Arial" w:cs="Arial" w:eastAsia="Arial" w:hAnsi="Arial"/>
          <w:color w:val="1A1510"/>
          <w:sz w:val="19"/>
          <w:szCs w:val="19"/>
        </w:rPr>
        <w:t xml:space="preserve">NOM-151: la firma electrónica simple se implementa mediante el flag esta_firmada + timestamp del servidor. El PDF generado incluye cédula, nombre del médico y hash SHA-256 del contenido.</w:t>
      </w:r>
    </w:p>
    <w:p>
      <w:pPr>
        <w:pStyle w:val="ListParagraph"/>
        <w:numPr>
          <w:ilvl w:val="0"/>
          <w:numId w:val="2"/>
        </w:numPr>
        <w:spacing w:before="50" w:after="50"/>
      </w:pPr>
      <w:r>
        <w:rPr>
          <w:rFonts w:ascii="Arial" w:cs="Arial" w:eastAsia="Arial" w:hAnsi="Arial"/>
          <w:color w:val="1A1510"/>
          <w:sz w:val="19"/>
          <w:szCs w:val="19"/>
        </w:rPr>
        <w:t xml:space="preserve">Correcciones post-firma: SOLO mediante notas_enmienda (Addendum). El error original permanece visible con el texto de corrección adjunto.</w:t>
      </w:r>
    </w:p>
    <w:p>
      <w:pPr>
        <w:pStyle w:val="ListParagraph"/>
        <w:numPr>
          <w:ilvl w:val="0"/>
          <w:numId w:val="2"/>
        </w:numPr>
        <w:spacing w:before="50" w:after="50"/>
      </w:pPr>
      <w:r>
        <w:rPr>
          <w:rFonts w:ascii="Arial" w:cs="Arial" w:eastAsia="Arial" w:hAnsi="Arial"/>
          <w:color w:val="1A1510"/>
          <w:sz w:val="19"/>
          <w:szCs w:val="19"/>
        </w:rPr>
        <w:t xml:space="preserve">Gaps de NOTAS_PENDIENTES.md implementados: (1) número de expediente en TopBar desde apertura del encuentro, (2) timestamp guardado automáticamente al avanzar cada paso del stepper, (3) sello visual de inmutabilidad post-firma.</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/encuentros/{id}/notas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Crea nota SOAP en borrador. Devuelve id_nota para edición incremental.</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/notas/{id}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el contenido de la nota (solo mientras esta_firmada=false).</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/notas/{id}/firmar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Firma electrónica. Activa inmutabilidad. Registra acción SIGN en auditoria_accesos con nivel MEDIO.</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/notas/{id}/enmienda</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Crea un Addendum a una nota firmada. Requiere narrativa_correccion.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/notas/{id}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Detalle de la nota con SOAP, enmiendas, diagnósticos y estado de firma.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/notas/{id}/pdf</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Genera y descarga el PDF de la nota firmada con sello de inmutabilidad NOM-151.</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/encuentros/{id}/notas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notas del encuentro. Enfermería ve notas pero no puede modificarlas.</w:t>
            </w:r>
          </w:p>
        </w:tc>
      </w:tr>
    </w:tbl>
    <w:p>
      <w:pPr>
        <w:spacing w:before="80" w:after="60"/>
      </w:pPr>
      <w:r>
        <w:rPr>
          <w:rFonts w:ascii="Arial" w:cs="Arial" w:eastAsia="Arial" w:hAnsi="Arial"/>
          <w:b/>
          <w:bCs/>
          <w:color w:val="2459A8"/>
          <w:sz w:val="19"/>
          <w:szCs w:val="19"/>
        </w:rPr>
        <w:t xml:space="preserve">Request: POST /encuentros/{id}/notas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subjetivo</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 Interrogatorio, síntomas referidos por el paciente.</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objetivo</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O: Exploración física, hallazgos objetivos, signos.</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analisis</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 Razonamiento clínico, diagnósticos presuntivos y diferenciales.</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plan</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 Plan diagnóstico, terapéutico e indicaciones médicas.</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tipo_nota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enum</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EVOLUCION | INGRESO | COMPLEMENTARIA | INTERCONSULTA</w:t>
            </w:r>
          </w:p>
        </w:tc>
      </w:tr>
    </w:tbl>
    <w:p>
      <w:pPr>
        <w:spacing w:before="80" w:after="60"/>
      </w:pPr>
      <w:r>
        <w:rPr>
          <w:rFonts w:ascii="Arial" w:cs="Arial" w:eastAsia="Arial" w:hAnsi="Arial"/>
          <w:b/>
          <w:bCs/>
          <w:color w:val="2459A8"/>
          <w:sz w:val="19"/>
          <w:szCs w:val="19"/>
        </w:rPr>
        <w:t xml:space="preserve">Response: GET /notas/{id}/pdf (headers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Content-Type</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application/pdf</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El PDF se envía directamente en el body.</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Content-Disposition</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attachment; filename=...</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Nombre del archivo: nota_{id_nota}_{fecha}.pdf</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X-Document-Hash</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(SHA-256)</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Hash SHA-256 del contenido del PDF. Para verificación de integridad (NOM-151).</w:t>
            </w:r>
          </w:p>
        </w:tc>
      </w:tr>
    </w:tbl>
    <w:p>
      <w:r>
        <w:br w:type="page"/>
      </w:r>
    </w:p>
    <w:p>
      <w:pPr>
        <w:pStyle w:val="Heading2"/>
        <w:spacing w:before="280" w:after="140"/>
      </w:pPr>
      <w:r>
        <w:rPr>
          <w:rFonts w:ascii="Arial" w:cs="Arial" w:eastAsia="Arial" w:hAnsi="Arial"/>
          <w:b/>
          <w:bCs/>
          <w:color w:val="2459A8"/>
          <w:sz w:val="26"/>
          <w:szCs w:val="26"/>
        </w:rPr>
        <w:t xml:space="preserve">Módulo 7 — Signos Vitales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Registro de constantes físicas del paciente al inicio del encuentro. Generalmente capturado por Enfermería. Los signos vitales alimentan la vista SQL v_signos_encuentro disponible para el módulo de notas.</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signos_vitales, encuentros_clinicos, historial_cambios</w:t>
      </w:r>
    </w:p>
    <w:p>
      <w:pPr>
        <w:spacing w:before="220" w:after="100"/>
      </w:pPr>
      <w:r>
        <w:rPr>
          <w:rFonts w:ascii="Arial" w:cs="Arial" w:eastAsia="Arial" w:hAnsi="Arial"/>
          <w:b/>
          <w:bCs/>
          <w:color w:val="C9720E"/>
          <w:sz w:val="22"/>
          <w:szCs w:val="22"/>
        </w:rPr>
        <w:t xml:space="preserve">Reglas de acceso</w:t>
      </w:r>
    </w:p>
    <w:p>
      <w:pPr>
        <w:pStyle w:val="ListParagraph"/>
        <w:numPr>
          <w:ilvl w:val="0"/>
          <w:numId w:val="2"/>
        </w:numPr>
        <w:spacing w:before="50" w:after="50"/>
      </w:pPr>
      <w:r>
        <w:rPr>
          <w:rFonts w:ascii="Arial" w:cs="Arial" w:eastAsia="Arial" w:hAnsi="Arial"/>
          <w:color w:val="1A1510"/>
          <w:sz w:val="19"/>
          <w:szCs w:val="19"/>
        </w:rPr>
        <w:t xml:space="preserve">Rol ENFERMERIA: puede crear y actualizar signos vitales. No puede acceder a notas SOAP.</w:t>
      </w:r>
    </w:p>
    <w:p>
      <w:pPr>
        <w:pStyle w:val="ListParagraph"/>
        <w:numPr>
          <w:ilvl w:val="0"/>
          <w:numId w:val="2"/>
        </w:numPr>
        <w:spacing w:before="50" w:after="50"/>
      </w:pPr>
      <w:r>
        <w:rPr>
          <w:rFonts w:ascii="Arial" w:cs="Arial" w:eastAsia="Arial" w:hAnsi="Arial"/>
          <w:color w:val="1A1510"/>
          <w:sz w:val="19"/>
          <w:szCs w:val="19"/>
        </w:rPr>
        <w:t xml:space="preserve">La vista v_signos_encuentro expone signos_vitales JOIN encuentros_clinicos para que Enfermería consulte sin acceder a datos clínicos del SOAP.</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/encuentros/{id}/signos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Registra signos vitales del encuentro. Solo uno por encuentro (actualizable hasta cierre).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/encuentros/{id}/signos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Obtiene los signos vitales del encuentro.</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/encuentros/{id}/signos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signos vitales (solo mientras el encuentro esté abierto). Trigger registra en historial_cambios.</w:t>
            </w:r>
          </w:p>
        </w:tc>
      </w:tr>
    </w:tbl>
    <w:p>
      <w:pPr>
        <w:spacing w:before="80" w:after="60"/>
      </w:pPr>
      <w:r>
        <w:rPr>
          <w:rFonts w:ascii="Arial" w:cs="Arial" w:eastAsia="Arial" w:hAnsi="Arial"/>
          <w:b/>
          <w:bCs/>
          <w:color w:val="2459A8"/>
          <w:sz w:val="19"/>
          <w:szCs w:val="19"/>
        </w:rPr>
        <w:t xml:space="preserve">Request/Response: POST /encuentros/{id}/signos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peso_kg</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decimal (5,2)</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Peso en kilogramos. Requerido.</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talla_cm</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decimal (5,2)</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Estatura en centímetros. Requerida.</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temperatura_c</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decimal (4,1)</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Temperatura corporal en °C. Opcional.</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frecuencia_cardiaca</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integer</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Frecuencia cardíaca en lpm. Opcional.</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frecuencia_respiratoria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integer</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Frecuencia respiratoria en rpm. Opcional.</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presion_sistolica</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integer</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Presión sistólica en mmHg. Opcional.</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presion_diastolica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integer</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Presión diastólica en mmHg. Opcional.</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saturacion_oxigeno</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decimal (4,1)</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SpO2 en %. Opcional.</w:t>
            </w:r>
          </w:p>
        </w:tc>
      </w:tr>
    </w:tbl>
    <w:p>
      <w:r>
        <w:br w:type="page"/>
      </w:r>
    </w:p>
    <w:p>
      <w:pPr>
        <w:pStyle w:val="Heading2"/>
        <w:spacing w:before="280" w:after="140"/>
      </w:pPr>
      <w:r>
        <w:rPr>
          <w:rFonts w:ascii="Arial" w:cs="Arial" w:eastAsia="Arial" w:hAnsi="Arial"/>
          <w:b/>
          <w:bCs/>
          <w:color w:val="2459A8"/>
          <w:sz w:val="26"/>
          <w:szCs w:val="26"/>
        </w:rPr>
        <w:t xml:space="preserve">Módulo 8 — Diagnósticos (CIE-10)</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Vincula códigos diagnósticos estandarizados CIE-10 con el encuentro clínico. Garantiza interoperabilidad semántica requerida por NOM-024-SSA3-2012. El autocompletado es el mecanismo de captura principal.</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diagnosticos_encuentro, cat_cie10, historial_cambios</w:t>
      </w:r>
    </w:p>
    <w:p>
      <w:pPr>
        <w:spacing w:before="220" w:after="100"/>
      </w:pPr>
      <w:r>
        <w:rPr>
          <w:rFonts w:ascii="Arial" w:cs="Arial" w:eastAsia="Arial" w:hAnsi="Arial"/>
          <w:b/>
          <w:bCs/>
          <w:color w:val="C9720E"/>
          <w:sz w:val="22"/>
          <w:szCs w:val="22"/>
        </w:rPr>
        <w:t xml:space="preserve">Notas técnicas (NOTAS_PENDIENTES.md)</w:t>
      </w:r>
    </w:p>
    <w:p>
      <w:pPr>
        <w:pStyle w:val="ListParagraph"/>
        <w:numPr>
          <w:ilvl w:val="0"/>
          <w:numId w:val="2"/>
        </w:numPr>
        <w:spacing w:before="50" w:after="50"/>
      </w:pPr>
      <w:r>
        <w:rPr>
          <w:rFonts w:ascii="Arial" w:cs="Arial" w:eastAsia="Arial" w:hAnsi="Arial"/>
          <w:color w:val="1A1510"/>
          <w:sz w:val="19"/>
          <w:szCs w:val="19"/>
        </w:rPr>
        <w:t xml:space="preserve">El campo de diagnóstico NO es texto libre en producción. Se conecta al catálogo CIE-10 oficial con búsqueda por código o descripción.</w:t>
      </w:r>
    </w:p>
    <w:p>
      <w:pPr>
        <w:pStyle w:val="ListParagraph"/>
        <w:numPr>
          <w:ilvl w:val="0"/>
          <w:numId w:val="2"/>
        </w:numPr>
        <w:spacing w:before="50" w:after="50"/>
      </w:pPr>
      <w:r>
        <w:rPr>
          <w:rFonts w:ascii="Arial" w:cs="Arial" w:eastAsia="Arial" w:hAnsi="Arial"/>
          <w:color w:val="1A1510"/>
          <w:sz w:val="19"/>
          <w:szCs w:val="19"/>
        </w:rPr>
        <w:t xml:space="preserve">Al seleccionar un código CIE-10 del dropdown, se guarda tanto codigo_cie como descripcion en diagnosticos_encuentro.</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/catalogos/cie10</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Búsqueda de diagnósticos. Parámetros: q (texto libre ILIKE en codigo_cie y descripcion), limit (máx 20). Servido desde CDN en prod.</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/encuentros/{id}/diagnosticos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Asocia un diagnóstico CIE-10 al encuentro. Requiere id_cie10 y tipo (PRESUNTIVO/DEFINITIVO).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/encuentros/{id}/diagnosticos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diagnósticos del encuentro con código y descripción CIE-10.</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/encuentros/{id}/diagnosticos/{id_diag}</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Cambia tipo de PRESUNTIVO a DEFINITIVO. Trigger registra en historial_cambios.</w:t>
            </w:r>
          </w:p>
        </w:tc>
      </w:tr>
    </w:tbl>
    <w:p>
      <w:r>
        <w:br w:type="page"/>
      </w:r>
    </w:p>
    <w:p>
      <w:pPr>
        <w:pStyle w:val="Heading2"/>
        <w:spacing w:before="280" w:after="140"/>
      </w:pPr>
      <w:r>
        <w:rPr>
          <w:rFonts w:ascii="Arial" w:cs="Arial" w:eastAsia="Arial" w:hAnsi="Arial"/>
          <w:b/>
          <w:bCs/>
          <w:color w:val="2459A8"/>
          <w:sz w:val="26"/>
          <w:szCs w:val="26"/>
        </w:rPr>
        <w:t xml:space="preserve">Módulo 9 — Prescripciones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Generación de receta médica electrónica nominativa vinculada al Cuadro Básico de Medicamentos de la SSA. La alerta de alergia crítica es un control de seguridad del paciente de alta prioridad implementado en el service antes de permitir la prescripción.</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prescripciones, cat_medicamentos, alergias, historial_cambios</w:t>
      </w:r>
    </w:p>
    <w:p>
      <w:pPr>
        <w:spacing w:before="220" w:after="100"/>
      </w:pPr>
      <w:r>
        <w:rPr>
          <w:rFonts w:ascii="Arial" w:cs="Arial" w:eastAsia="Arial" w:hAnsi="Arial"/>
          <w:b/>
          <w:bCs/>
          <w:color w:val="C9720E"/>
          <w:sz w:val="22"/>
          <w:szCs w:val="22"/>
        </w:rPr>
        <w:t xml:space="preserve">Reglas de negocio críticas</w:t>
      </w:r>
    </w:p>
    <w:p>
      <w:pPr>
        <w:pStyle w:val="ListParagraph"/>
        <w:numPr>
          <w:ilvl w:val="0"/>
          <w:numId w:val="2"/>
        </w:numPr>
        <w:spacing w:before="50" w:after="50"/>
      </w:pPr>
      <w:r>
        <w:rPr>
          <w:rFonts w:ascii="Arial" w:cs="Arial" w:eastAsia="Arial" w:hAnsi="Arial"/>
          <w:color w:val="1A1510"/>
          <w:sz w:val="19"/>
          <w:szCs w:val="19"/>
        </w:rPr>
        <w:t xml:space="preserve">ALERTA DE ALERGIA: al prescribir, el service verifica activamente en alergias del paciente si la sustancia del medicamento tiene coincidencia (ILIKE). Si severidad=CRÍTICA, devuelve HTTP 409 con mensaje de alerta y requiere confirmación explícita del médico.</w:t>
      </w:r>
    </w:p>
    <w:p>
      <w:pPr>
        <w:pStyle w:val="ListParagraph"/>
        <w:numPr>
          <w:ilvl w:val="0"/>
          <w:numId w:val="2"/>
        </w:numPr>
        <w:spacing w:before="50" w:after="50"/>
      </w:pPr>
      <w:r>
        <w:rPr>
          <w:rFonts w:ascii="Arial" w:cs="Arial" w:eastAsia="Arial" w:hAnsi="Arial"/>
          <w:color w:val="1A1510"/>
          <w:sz w:val="19"/>
          <w:szCs w:val="19"/>
        </w:rPr>
        <w:t xml:space="preserve">Vinculación al Cuadro Básico: solo se pueden prescribir medicamentos existentes en cat_medicamentos. El código codigo_medicamento_ssa actúa como puente con el sistema de farmacia externo.</w:t>
      </w:r>
    </w:p>
    <w:p>
      <w:pPr>
        <w:pStyle w:val="ListParagraph"/>
        <w:numPr>
          <w:ilvl w:val="0"/>
          <w:numId w:val="2"/>
        </w:numPr>
        <w:spacing w:before="50" w:after="50"/>
      </w:pPr>
      <w:r>
        <w:rPr>
          <w:rFonts w:ascii="Arial" w:cs="Arial" w:eastAsia="Arial" w:hAnsi="Arial"/>
          <w:color w:val="1A1510"/>
          <w:sz w:val="19"/>
          <w:szCs w:val="19"/>
        </w:rPr>
        <w:t xml:space="preserve">La receta PDF incluye: cédula del médico, nombre del paciente, numero_expediente, CLUES del establecimiento y timestamp del servidor.</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/encuentros/{id}/prescripciones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Prescribe un medicamento. Verifica alergias antes de insertar. Si alergia crítica: HTTP 409.</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/encuentros/{id}/prescripciones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prescripciones del encuentro.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/encuentros/{id}/prescripciones/pdf</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Genera la receta médica PDF con todos los medicamentos del encuentro.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/catalogos/medicamentos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Búsqueda en Cuadro Básico. Parámetros: q (nombre genérico ILIKE), limit (máx 20).</w:t>
            </w:r>
          </w:p>
        </w:tc>
      </w:tr>
    </w:tbl>
    <w:p>
      <w:pPr>
        <w:spacing w:before="80" w:after="60"/>
      </w:pPr>
      <w:r>
        <w:rPr>
          <w:rFonts w:ascii="Arial" w:cs="Arial" w:eastAsia="Arial" w:hAnsi="Arial"/>
          <w:b/>
          <w:bCs/>
          <w:color w:val="2459A8"/>
          <w:sz w:val="19"/>
          <w:szCs w:val="19"/>
        </w:rPr>
        <w:t xml:space="preserve">Request: POST /encuentros/{id}/prescripciones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Tipo</w:t>
            </w:r>
          </w:p>
        </w:tc>
        <w:tc>
          <w:tcPr>
            <w:tcW w:type="dxa" w:w="51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id_medicamento</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UUID</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FK a cat_medicamentos. Obligatorio.</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dosis</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(50)</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Cantidad y unidad. Ej: '500mg'.</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via_administracion</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(50)</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ORAL | INTRAVENOSA | TOPICA | SUBCUTANEA | etc.</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frecuencia</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(100)</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Descripción de frecuencia. Ej: 'Cada 8 horas por 7 días'.</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duracion_dias</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integer</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Duración del tratamiento en días. Opcional.</w:t>
            </w:r>
          </w:p>
        </w:tc>
      </w:tr>
      <w:tr>
        <w:tc>
          <w:tcPr>
            <w:tcW w:type="dxa" w:w="24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indicaciones</w:t>
            </w:r>
          </w:p>
        </w:tc>
        <w:tc>
          <w:tcPr>
            <w:tcW w:type="dxa" w:w="18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string (text)</w:t>
            </w:r>
          </w:p>
        </w:tc>
        <w:tc>
          <w:tcPr>
            <w:tcW w:type="dxa" w:w="51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Instrucciones adicionales para el paciente. Opcional.</w:t>
            </w:r>
          </w:p>
        </w:tc>
      </w:tr>
      <w:tr>
        <w:tc>
          <w:tcPr>
            <w:tcW w:type="dxa" w:w="24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2459A8"/>
                <w:sz w:val="19"/>
                <w:szCs w:val="19"/>
              </w:rPr>
              <w:t xml:space="preserve">confirmar_alergia</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8"/>
                <w:szCs w:val="18"/>
              </w:rPr>
              <w:t xml:space="preserve">boolean</w:t>
            </w:r>
          </w:p>
        </w:tc>
        <w:tc>
          <w:tcPr>
            <w:tcW w:type="dxa" w:w="51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true si el médico confirma la prescripción a pesar de alerta de alergia.</w:t>
            </w:r>
          </w:p>
        </w:tc>
      </w:tr>
    </w:tbl>
    <w:p>
      <w:r>
        <w:br w:type="page"/>
      </w:r>
    </w:p>
    <w:p>
      <w:pPr>
        <w:pStyle w:val="Heading2"/>
        <w:spacing w:before="280" w:after="140"/>
      </w:pPr>
      <w:r>
        <w:rPr>
          <w:rFonts w:ascii="Arial" w:cs="Arial" w:eastAsia="Arial" w:hAnsi="Arial"/>
          <w:b/>
          <w:bCs/>
          <w:color w:val="2459A8"/>
          <w:sz w:val="26"/>
          <w:szCs w:val="26"/>
        </w:rPr>
        <w:t xml:space="preserve">Módulo 10 — Laboratorio (Solicitudes y Resultados)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Gestiona el ciclo completo del análisis clínico: orden de solicitud → resultado con PDF externo. El hash SHA-256 del PDF de resultado es el mecanismo forense de verificación de integridad (Req 1 Cómputo Forense).</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solicitudes_estudio, resultados_laboratorio, auditoria_accesos, Azure Blob Storage</w:t>
      </w:r>
    </w:p>
    <w:p>
      <w:pPr>
        <w:spacing w:before="220" w:after="100"/>
      </w:pPr>
      <w:r>
        <w:rPr>
          <w:rFonts w:ascii="Arial" w:cs="Arial" w:eastAsia="Arial" w:hAnsi="Arial"/>
          <w:b/>
          <w:bCs/>
          <w:color w:val="C9720E"/>
          <w:sz w:val="22"/>
          <w:szCs w:val="22"/>
        </w:rPr>
        <w:t xml:space="preserve">Reglas de negocio y seguridad</w:t>
      </w:r>
    </w:p>
    <w:p>
      <w:pPr>
        <w:pStyle w:val="ListParagraph"/>
        <w:numPr>
          <w:ilvl w:val="0"/>
          <w:numId w:val="2"/>
        </w:numPr>
        <w:spacing w:before="50" w:after="50"/>
      </w:pPr>
      <w:r>
        <w:rPr>
          <w:rFonts w:ascii="Arial" w:cs="Arial" w:eastAsia="Arial" w:hAnsi="Arial"/>
          <w:color w:val="1A1510"/>
          <w:sz w:val="19"/>
          <w:szCs w:val="19"/>
        </w:rPr>
        <w:t xml:space="preserve">Upload de resultados: el PDF del laboratorio externo se sube a Azure Blob Storage. El sistema calcula el SHA-256 del archivo y lo registra en auditoria_accesos.hash_archivo (Req 1 Forense).</w:t>
      </w:r>
    </w:p>
    <w:p>
      <w:pPr>
        <w:pStyle w:val="ListParagraph"/>
        <w:numPr>
          <w:ilvl w:val="0"/>
          <w:numId w:val="2"/>
        </w:numPr>
        <w:spacing w:before="50" w:after="50"/>
      </w:pPr>
      <w:r>
        <w:rPr>
          <w:rFonts w:ascii="Arial" w:cs="Arial" w:eastAsia="Arial" w:hAnsi="Arial"/>
          <w:color w:val="1A1510"/>
          <w:sz w:val="19"/>
          <w:szCs w:val="19"/>
        </w:rPr>
        <w:t xml:space="preserve">El PDF de resultado NO se modifica. Si el laboratorio emite una corrección, se crea un nuevo resultado con referencia a la solicitud original.</w:t>
      </w:r>
    </w:p>
    <w:p>
      <w:pPr>
        <w:pStyle w:val="ListParagraph"/>
        <w:numPr>
          <w:ilvl w:val="0"/>
          <w:numId w:val="2"/>
        </w:numPr>
        <w:spacing w:before="50" w:after="50"/>
      </w:pPr>
      <w:r>
        <w:rPr>
          <w:rFonts w:ascii="Arial" w:cs="Arial" w:eastAsia="Arial" w:hAnsi="Arial"/>
          <w:color w:val="1A1510"/>
          <w:sz w:val="19"/>
          <w:szCs w:val="19"/>
        </w:rPr>
        <w:t xml:space="preserve">SAS tokens de 15 minutos para descarga del PDF. Después del tiempo, el URL expira y requiere nueva solicitud.</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/encuentros/{id}/solicitudes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Genera orden de solicitud de estudio. Puede marcarse como urgente.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/encuentros/{id}/solicitudes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solicitudes del encuentro con estado (pendiente/con_resultado).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/solicitudes/{id}/pdf</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Descarga la solicitud de laboratorio como PDF generado por WeasyPrint.</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/solicitudes/{id}/resultados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ENFERM)</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Sube el PDF de resultado. El sistema calcula SHA-256 y sube a Azure Blob. Registra URL y hash.</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/solicitudes/{id}/resultados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resultados de la solicitud con URL temporal (SAS 15 min) para descarga del PDF.</w:t>
            </w:r>
          </w:p>
        </w:tc>
      </w:tr>
    </w:tbl>
    <w:p>
      <w:r>
        <w:br w:type="page"/>
      </w:r>
    </w:p>
    <w:p>
      <w:pPr>
        <w:pStyle w:val="Heading2"/>
        <w:spacing w:before="280" w:after="140"/>
      </w:pPr>
      <w:r>
        <w:rPr>
          <w:rFonts w:ascii="Arial" w:cs="Arial" w:eastAsia="Arial" w:hAnsi="Arial"/>
          <w:b/>
          <w:bCs/>
          <w:color w:val="2459A8"/>
          <w:sz w:val="26"/>
          <w:szCs w:val="26"/>
        </w:rPr>
        <w:t xml:space="preserve">Módulo 11 — Referencias Médicas (SRC)</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Implementa el Sistema de Referencia y Contrarreferencia (SRC) normado por la Secretaría de Salud. Una referencia con estado ACEPTADA o ATENDIDA es el mecanismo legal que habilita el acceso cross-establecimiento a notas clínicas (Regla 2 de Negocio).</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referencias_medicas, encuentros_clinicos, establecimientos, cat_especialidades_medicas, historial_cambios</w:t>
      </w:r>
    </w:p>
    <w:p>
      <w:pPr>
        <w:spacing w:before="220" w:after="100"/>
      </w:pPr>
      <w:r>
        <w:rPr>
          <w:rFonts w:ascii="Arial" w:cs="Arial" w:eastAsia="Arial" w:hAnsi="Arial"/>
          <w:b/>
          <w:bCs/>
          <w:color w:val="C9720E"/>
          <w:sz w:val="22"/>
          <w:szCs w:val="22"/>
        </w:rPr>
        <w:t xml:space="preserve">Estados del ciclo de vida de una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Estado</w:t>
            </w:r>
          </w:p>
        </w:tc>
        <w:tc>
          <w:tcPr>
            <w:tcW w:type="dxa" w:w="75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Significado y transiciones permitidas</w:t>
            </w:r>
          </w:p>
        </w:tc>
      </w:tr>
      <w:tr>
        <w:tc>
          <w:tcPr>
            <w:tcW w:type="dxa" w:w="1800"/>
            <w:tcBorders>
              <w:top w:val="single" w:color="D4CEC4" w:sz="1"/>
              <w:left w:val="single" w:color="D4CEC4" w:sz="1"/>
              <w:bottom w:val="single" w:color="D4CEC4" w:sz="1"/>
              <w:right w:val="single" w:color="D4CEC4" w:sz="1"/>
            </w:tcBorders>
            <w:shd w:fill="FEF5EB" w:val="clear"/>
            <w:tcMar>
              <w:top w:type="dxa" w:w="70"/>
              <w:left w:type="dxa" w:w="120"/>
              <w:bottom w:type="dxa" w:w="70"/>
              <w:right w:type="dxa" w:w="120"/>
            </w:tcMar>
            <w:vAlign w:val="top"/>
          </w:tcPr>
          <w:p>
            <w:pPr>
              <w:jc w:val="center"/>
            </w:pPr>
            <w:r>
              <w:rPr>
                <w:rFonts w:ascii="Arial" w:cs="Arial" w:eastAsia="Arial" w:hAnsi="Arial"/>
                <w:b/>
                <w:bCs/>
                <w:color w:val="C9720E"/>
                <w:sz w:val="19"/>
                <w:szCs w:val="19"/>
              </w:rPr>
              <w:t xml:space="preserve">EMITIDA</w:t>
            </w:r>
          </w:p>
        </w:tc>
        <w:tc>
          <w:tcPr>
            <w:tcW w:type="dxa" w:w="7560"/>
            <w:tcBorders>
              <w:top w:val="single" w:color="D4CEC4" w:sz="1"/>
              <w:left w:val="single" w:color="D4CEC4" w:sz="1"/>
              <w:bottom w:val="single" w:color="D4CEC4" w:sz="1"/>
              <w:right w:val="single" w:color="D4CEC4" w:sz="1"/>
            </w:tcBorders>
            <w:shd w:fill="FEF5EB"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Estado inicial. El médico emisor crea la referencia. Transición: EMITIDA → ACEPTADA o CANCELADA.</w:t>
            </w:r>
          </w:p>
        </w:tc>
      </w:tr>
      <w:tr>
        <w:tc>
          <w:tcPr>
            <w:tcW w:type="dxa" w:w="180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center"/>
            </w:pPr>
            <w:r>
              <w:rPr>
                <w:rFonts w:ascii="Arial" w:cs="Arial" w:eastAsia="Arial" w:hAnsi="Arial"/>
                <w:b/>
                <w:bCs/>
                <w:color w:val="196038"/>
                <w:sz w:val="19"/>
                <w:szCs w:val="19"/>
              </w:rPr>
              <w:t xml:space="preserve">ACEPTADA</w:t>
            </w:r>
          </w:p>
        </w:tc>
        <w:tc>
          <w:tcPr>
            <w:tcW w:type="dxa" w:w="756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El establecimiento destino acepta atender al paciente. HABILITA acceso a notas según Regla 2. Transición: ACEPTADA → ATENDIDA.</w:t>
            </w:r>
          </w:p>
        </w:tc>
      </w:tr>
      <w:tr>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2459A8"/>
                <w:sz w:val="19"/>
                <w:szCs w:val="19"/>
              </w:rPr>
              <w:t xml:space="preserve">ATENDIDA</w:t>
            </w:r>
          </w:p>
        </w:tc>
        <w:tc>
          <w:tcPr>
            <w:tcW w:type="dxa" w:w="75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El paciente fue atendido en el establecimiento destino. Permite contrarreferencia. Estado mantiene el acceso a notas.</w:t>
            </w:r>
          </w:p>
        </w:tc>
      </w:tr>
      <w:tr>
        <w:tc>
          <w:tcPr>
            <w:tcW w:type="dxa" w:w="1800"/>
            <w:tcBorders>
              <w:top w:val="single" w:color="D4CEC4" w:sz="1"/>
              <w:left w:val="single" w:color="D4CEC4" w:sz="1"/>
              <w:bottom w:val="single" w:color="D4CEC4" w:sz="1"/>
              <w:right w:val="single" w:color="D4CEC4" w:sz="1"/>
            </w:tcBorders>
            <w:shd w:fill="FEF0F3" w:val="clear"/>
            <w:tcMar>
              <w:top w:type="dxa" w:w="70"/>
              <w:left w:type="dxa" w:w="120"/>
              <w:bottom w:type="dxa" w:w="70"/>
              <w:right w:type="dxa" w:w="120"/>
            </w:tcMar>
            <w:vAlign w:val="top"/>
          </w:tcPr>
          <w:p>
            <w:pPr>
              <w:jc w:val="center"/>
            </w:pPr>
            <w:r>
              <w:rPr>
                <w:rFonts w:ascii="Arial" w:cs="Arial" w:eastAsia="Arial" w:hAnsi="Arial"/>
                <w:b/>
                <w:bCs/>
                <w:color w:val="BA2E45"/>
                <w:sz w:val="19"/>
                <w:szCs w:val="19"/>
              </w:rPr>
              <w:t xml:space="preserve">CANCELADA</w:t>
            </w:r>
          </w:p>
        </w:tc>
        <w:tc>
          <w:tcPr>
            <w:tcW w:type="dxa" w:w="7560"/>
            <w:tcBorders>
              <w:top w:val="single" w:color="D4CEC4" w:sz="1"/>
              <w:left w:val="single" w:color="D4CEC4" w:sz="1"/>
              <w:bottom w:val="single" w:color="D4CEC4" w:sz="1"/>
              <w:right w:val="single" w:color="D4CEC4" w:sz="1"/>
            </w:tcBorders>
            <w:shd w:fill="FEF0F3"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La referencia fue cancelada antes de atención. REVOCA el acceso cross-establecimiento.</w:t>
            </w:r>
          </w:p>
        </w:tc>
      </w:tr>
    </w:tbl>
    <w:p>
      <w:pPr>
        <w:spacing w:before="50" w:after="180"/>
        <w:jc w:val="center"/>
      </w:pPr>
      <w:r>
        <w:rPr>
          <w:rFonts w:ascii="Arial" w:cs="Arial" w:eastAsia="Arial" w:hAnsi="Arial"/>
          <w:i/>
          <w:iCs/>
          <w:color w:val="605850"/>
          <w:sz w:val="17"/>
          <w:szCs w:val="17"/>
        </w:rPr>
        <w:t xml:space="preserve">Tabla 11.1 — Ciclo de vida de una referencia médica</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Emite una referencia médica. Requiere encuentro activo, establecimiento destino, especialidad y motivo clínico.</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/referencias/{id}/aceptar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destino)</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El médico del establecimiento receptor acepta la referencia. Habilita acceso cross-establecimiento (Regla 2).</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/referencias/{id}/atender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destino)</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Marca la referencia como atendida tras la consulta.</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/referencias/{id}/contrarreferir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 destino)</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Envía resumen de contrarreferencia al establecimiento emisor.</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/referencias/{id}/cancelar</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Cancela la referencia. Requiere justificación.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/referencias/recibidas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referencias recibidas en el establecimiento del médico autenticado.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/referencias/emitidas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referencias emitidas por el médico autenticado.</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/referencias/{id}/pdf</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(MED)</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Genera el documento de referencia médica PDF conforme a NOM-004.</w:t>
            </w:r>
          </w:p>
        </w:tc>
      </w:tr>
    </w:tbl>
    <w:p>
      <w:r>
        <w:br w:type="page"/>
      </w:r>
    </w:p>
    <w:p>
      <w:pPr>
        <w:pStyle w:val="Heading2"/>
        <w:spacing w:before="280" w:after="140"/>
      </w:pPr>
      <w:r>
        <w:rPr>
          <w:rFonts w:ascii="Arial" w:cs="Arial" w:eastAsia="Arial" w:hAnsi="Arial"/>
          <w:b/>
          <w:bCs/>
          <w:color w:val="2459A8"/>
          <w:sz w:val="26"/>
          <w:szCs w:val="26"/>
        </w:rPr>
        <w:t xml:space="preserve">Módulo 12 — Generación de Documentos PDF</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MedIA genera 4 documentos PDF a partir de datos ya registrados en la BD. Los documentos son generados on-demand por WeasyPrint y no se persisten en el sistema (excepción: resultados de laboratorio que llegan de fuente externa).</w:t>
      </w:r>
    </w:p>
    <w:p>
      <w:pPr>
        <w:spacing w:before="220" w:after="100"/>
      </w:pPr>
      <w:r>
        <w:rPr>
          <w:rFonts w:ascii="Arial" w:cs="Arial" w:eastAsia="Arial" w:hAnsi="Arial"/>
          <w:b/>
          <w:bCs/>
          <w:color w:val="C9720E"/>
          <w:sz w:val="22"/>
          <w:szCs w:val="22"/>
        </w:rPr>
        <w:t xml:space="preserve">Principio de diseño (NOM-151 + Req 1 Forense)</w:t>
      </w:r>
    </w:p>
    <w:p>
      <w:pPr>
        <w:pStyle w:val="ListParagraph"/>
        <w:numPr>
          <w:ilvl w:val="0"/>
          <w:numId w:val="2"/>
        </w:numPr>
        <w:spacing w:before="50" w:after="50"/>
      </w:pPr>
      <w:r>
        <w:rPr>
          <w:rFonts w:ascii="Arial" w:cs="Arial" w:eastAsia="Arial" w:hAnsi="Arial"/>
          <w:color w:val="1A1510"/>
          <w:sz w:val="19"/>
          <w:szCs w:val="19"/>
        </w:rPr>
        <w:t xml:space="preserve">Los PDFs del expediente se generan desde datos ya validados y firmados. Autoría verificable, timestamp del servidor.</w:t>
      </w:r>
    </w:p>
    <w:p>
      <w:pPr>
        <w:pStyle w:val="ListParagraph"/>
        <w:numPr>
          <w:ilvl w:val="0"/>
          <w:numId w:val="2"/>
        </w:numPr>
        <w:spacing w:before="50" w:after="50"/>
      </w:pPr>
      <w:r>
        <w:rPr>
          <w:rFonts w:ascii="Arial" w:cs="Arial" w:eastAsia="Arial" w:hAnsi="Arial"/>
          <w:color w:val="1A1510"/>
          <w:sz w:val="19"/>
          <w:szCs w:val="19"/>
        </w:rPr>
        <w:t xml:space="preserve">El PDF de nota SOAP firmada incluye: sello visual con SHA-256 del contenido, cédula del médico, nombre del establecimiento con CLUES, timestamp CST exacto.</w:t>
      </w:r>
    </w:p>
    <w:p>
      <w:pPr>
        <w:pStyle w:val="ListParagraph"/>
        <w:numPr>
          <w:ilvl w:val="0"/>
          <w:numId w:val="2"/>
        </w:numPr>
        <w:spacing w:before="50" w:after="50"/>
      </w:pPr>
      <w:r>
        <w:rPr>
          <w:rFonts w:ascii="Arial" w:cs="Arial" w:eastAsia="Arial" w:hAnsi="Arial"/>
          <w:color w:val="1A1510"/>
          <w:sz w:val="19"/>
          <w:szCs w:val="19"/>
        </w:rPr>
        <w:t xml:space="preserve">El PDF de receta incluye: folio único, nombre genérico del medicamento, cédula del médico prescriptor, número de expediente.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Documento</w:t>
            </w:r>
          </w:p>
        </w:tc>
        <w:tc>
          <w:tcPr>
            <w:tcW w:type="dxa" w:w="2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Endpoint</w:t>
            </w:r>
          </w:p>
        </w:tc>
        <w:tc>
          <w:tcPr>
            <w:tcW w:type="dxa" w:w="47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Datos de origen</w:t>
            </w:r>
          </w:p>
        </w:tc>
      </w:tr>
      <w:tr>
        <w:tc>
          <w:tcPr>
            <w:tcW w:type="dxa" w:w="26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Nota SOAP firmada</w:t>
            </w:r>
          </w:p>
        </w:tc>
        <w:tc>
          <w:tcPr>
            <w:tcW w:type="dxa" w:w="2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GET /notas/{id}/pdf</w:t>
            </w:r>
          </w:p>
        </w:tc>
        <w:tc>
          <w:tcPr>
            <w:tcW w:type="dxa" w:w="47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notas_soap_detalle + notas_medicas + diagnosticos_encuentro + usuarios_sistema (cédula) + establecimientos (CLUES)</w:t>
            </w:r>
          </w:p>
        </w:tc>
      </w:tr>
      <w:tr>
        <w:tc>
          <w:tcPr>
            <w:tcW w:type="dxa" w:w="260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Receta médica nominativa</w:t>
            </w:r>
          </w:p>
        </w:tc>
        <w:tc>
          <w:tcPr>
            <w:tcW w:type="dxa" w:w="200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val="false"/>
                <w:bCs w:val="false"/>
                <w:color w:val="196038"/>
                <w:sz w:val="19"/>
                <w:szCs w:val="19"/>
              </w:rPr>
              <w:t xml:space="preserve">GET /encuentros/{id}/prescripciones/pdf</w:t>
            </w:r>
          </w:p>
        </w:tc>
        <w:tc>
          <w:tcPr>
            <w:tcW w:type="dxa" w:w="476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prescripciones + cat_medicamentos + usuarios_sistema + pacientes + personas</w:t>
            </w:r>
          </w:p>
        </w:tc>
      </w:tr>
      <w:tr>
        <w:tc>
          <w:tcPr>
            <w:tcW w:type="dxa" w:w="2600"/>
            <w:tcBorders>
              <w:top w:val="single" w:color="D4CEC4" w:sz="1"/>
              <w:left w:val="single" w:color="D4CEC4" w:sz="1"/>
              <w:bottom w:val="single" w:color="D4CEC4" w:sz="1"/>
              <w:right w:val="single" w:color="D4CEC4" w:sz="1"/>
            </w:tcBorders>
            <w:shd w:fill="FEF5EB"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Solicitud de laboratorio</w:t>
            </w:r>
          </w:p>
        </w:tc>
        <w:tc>
          <w:tcPr>
            <w:tcW w:type="dxa" w:w="2000"/>
            <w:tcBorders>
              <w:top w:val="single" w:color="D4CEC4" w:sz="1"/>
              <w:left w:val="single" w:color="D4CEC4" w:sz="1"/>
              <w:bottom w:val="single" w:color="D4CEC4" w:sz="1"/>
              <w:right w:val="single" w:color="D4CEC4" w:sz="1"/>
            </w:tcBorders>
            <w:shd w:fill="FEF5EB" w:val="clear"/>
            <w:tcMar>
              <w:top w:type="dxa" w:w="70"/>
              <w:left w:type="dxa" w:w="120"/>
              <w:bottom w:type="dxa" w:w="70"/>
              <w:right w:type="dxa" w:w="120"/>
            </w:tcMar>
            <w:vAlign w:val="top"/>
          </w:tcPr>
          <w:p>
            <w:pPr>
              <w:jc w:val="left"/>
            </w:pPr>
            <w:r>
              <w:rPr>
                <w:rFonts w:ascii="Arial" w:cs="Arial" w:eastAsia="Arial" w:hAnsi="Arial"/>
                <w:b w:val="false"/>
                <w:bCs w:val="false"/>
                <w:color w:val="C9720E"/>
                <w:sz w:val="19"/>
                <w:szCs w:val="19"/>
              </w:rPr>
              <w:t xml:space="preserve">GET /solicitudes/{id}/pdf</w:t>
            </w:r>
          </w:p>
        </w:tc>
        <w:tc>
          <w:tcPr>
            <w:tcW w:type="dxa" w:w="4760"/>
            <w:tcBorders>
              <w:top w:val="single" w:color="D4CEC4" w:sz="1"/>
              <w:left w:val="single" w:color="D4CEC4" w:sz="1"/>
              <w:bottom w:val="single" w:color="D4CEC4" w:sz="1"/>
              <w:right w:val="single" w:color="D4CEC4" w:sz="1"/>
            </w:tcBorders>
            <w:shd w:fill="FEF5EB"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solicitudes_estudio + encuentros_clinicos + pacientes + personas + usuarios_sistema</w:t>
            </w:r>
          </w:p>
        </w:tc>
      </w:tr>
      <w:tr>
        <w:tc>
          <w:tcPr>
            <w:tcW w:type="dxa" w:w="26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Referencia médica</w:t>
            </w:r>
          </w:p>
        </w:tc>
        <w:tc>
          <w:tcPr>
            <w:tcW w:type="dxa" w:w="20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GET /referencias/{id}/pdf</w:t>
            </w:r>
          </w:p>
        </w:tc>
        <w:tc>
          <w:tcPr>
            <w:tcW w:type="dxa" w:w="476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referencias_medicas + establecimientos (origen y destino) + pacientes + diagnosticos_encuentro</w:t>
            </w:r>
          </w:p>
        </w:tc>
      </w:tr>
    </w:tbl>
    <w:p>
      <w:pPr>
        <w:spacing w:before="50" w:after="180"/>
        <w:jc w:val="center"/>
      </w:pPr>
      <w:r>
        <w:rPr>
          <w:rFonts w:ascii="Arial" w:cs="Arial" w:eastAsia="Arial" w:hAnsi="Arial"/>
          <w:i/>
          <w:iCs/>
          <w:color w:val="605850"/>
          <w:sz w:val="17"/>
          <w:szCs w:val="17"/>
        </w:rPr>
        <w:t xml:space="preserve">Tabla 12.1 — Documentos PDF generados por MedIA y sus fuentes de datos</w:t>
      </w:r>
    </w:p>
    <w:p>
      <w:r>
        <w:br w:type="page"/>
      </w:r>
    </w:p>
    <w:p>
      <w:pPr>
        <w:pStyle w:val="Heading2"/>
        <w:spacing w:before="280" w:after="140"/>
      </w:pPr>
      <w:r>
        <w:rPr>
          <w:rFonts w:ascii="Arial" w:cs="Arial" w:eastAsia="Arial" w:hAnsi="Arial"/>
          <w:b/>
          <w:bCs/>
          <w:color w:val="2459A8"/>
          <w:sz w:val="26"/>
          <w:szCs w:val="26"/>
        </w:rPr>
        <w:t xml:space="preserve">Módulo 13 — Auditoría y Seguridad</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Acceso a la bitácora inmutable y al panel de gestión de incidentes de seguridad. Solo el rol AUDITOR_SEGURIDAD tiene acceso a este módulo. El rol AUDITOR no puede ver datos clínicos de ningún paciente.</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auditoria_accesos (solo lectura), incidentes_seguridad (lectura/escritura), sesiones_invalidas, v_auditoria_estadistica</w:t>
      </w:r>
    </w:p>
    <w:p>
      <w:pPr>
        <w:spacing w:before="220" w:after="100"/>
      </w:pPr>
      <w:r>
        <w:rPr>
          <w:rFonts w:ascii="Arial" w:cs="Arial" w:eastAsia="Arial" w:hAnsi="Arial"/>
          <w:b/>
          <w:bCs/>
          <w:color w:val="C9720E"/>
          <w:sz w:val="22"/>
          <w:szCs w:val="22"/>
        </w:rPr>
        <w:t xml:space="preserve">Requisitos de Cómputo Forense cubiertos por este módulo</w:t>
      </w:r>
    </w:p>
    <w:p>
      <w:pPr>
        <w:pStyle w:val="ListParagraph"/>
        <w:numPr>
          <w:ilvl w:val="0"/>
          <w:numId w:val="2"/>
        </w:numPr>
        <w:spacing w:before="50" w:after="50"/>
      </w:pPr>
      <w:r>
        <w:rPr>
          <w:rFonts w:ascii="Arial" w:cs="Arial" w:eastAsia="Arial" w:hAnsi="Arial"/>
          <w:color w:val="1A1510"/>
          <w:sz w:val="19"/>
          <w:szCs w:val="19"/>
        </w:rPr>
        <w:t xml:space="preserve">Req 1: auditoria_accesos incluye usuario, timestamp UTC, acción, resultado, IP (INET), hash de archivo, módulo y función (modulo_funcion).</w:t>
      </w:r>
    </w:p>
    <w:p>
      <w:pPr>
        <w:pStyle w:val="ListParagraph"/>
        <w:numPr>
          <w:ilvl w:val="0"/>
          <w:numId w:val="2"/>
        </w:numPr>
        <w:spacing w:before="50" w:after="50"/>
      </w:pPr>
      <w:r>
        <w:rPr>
          <w:rFonts w:ascii="Arial" w:cs="Arial" w:eastAsia="Arial" w:hAnsi="Arial"/>
          <w:color w:val="1A1510"/>
          <w:sz w:val="19"/>
          <w:szCs w:val="19"/>
        </w:rPr>
        <w:t xml:space="preserve">Req 3 Trazabilidad: el campo modulo_funcion permite responder '¿qué función firmó la nota?', '¿qué endpoint exportó resultados?'.</w:t>
      </w:r>
    </w:p>
    <w:p>
      <w:pPr>
        <w:pStyle w:val="ListParagraph"/>
        <w:numPr>
          <w:ilvl w:val="0"/>
          <w:numId w:val="2"/>
        </w:numPr>
        <w:spacing w:before="50" w:after="50"/>
      </w:pPr>
      <w:r>
        <w:rPr>
          <w:rFonts w:ascii="Arial" w:cs="Arial" w:eastAsia="Arial" w:hAnsi="Arial"/>
          <w:color w:val="1A1510"/>
          <w:sz w:val="19"/>
          <w:szCs w:val="19"/>
        </w:rPr>
        <w:t xml:space="preserve">Req 5 Acciones críticas: tipos de evento documentados: LOGIN_FALLIDO, CUENTA_BLOQUEADA, BORRADO_LOGICO, MODIFICACION_NO_AUTORIZADA, INTENTO_XSS, INTENTO_SQLI, INTENTO_IDOR, ACCESO_SIN_REFERENCIA.</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/auditoria/accesos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(AUDIT)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bitácora de accesos con filtros: tipo_evento, nivel_severidad, fecha_desde, fecha_hasta, id_usuario. Paginado. Solo lectura.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/auditoria/estadisticas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(AUDIT)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Consulta la vista v_auditoria_estadistica: eventos agrupados por tipo, módulo y fecha.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/auditoria/incidentes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(AUDIT)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incidentes de seguridad con estado actual del ciclo de vida.</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/auditoria/incidentes/{id}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(AUDIT)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el estado del incidente (ABIERTO → EN_PROCESO → RESUELTO → CERRADO). Requiere descripcion_correccion para cierre.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/auditoria/sesiones-invalidas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(AUDIT)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tokens JWT revocados activos (no expirados aún).</w:t>
            </w:r>
          </w:p>
        </w:tc>
      </w:tr>
    </w:tbl>
    <w:p>
      <w:r>
        <w:br w:type="page"/>
      </w:r>
    </w:p>
    <w:p>
      <w:pPr>
        <w:pStyle w:val="Heading2"/>
        <w:spacing w:before="280" w:after="140"/>
      </w:pPr>
      <w:r>
        <w:rPr>
          <w:rFonts w:ascii="Arial" w:cs="Arial" w:eastAsia="Arial" w:hAnsi="Arial"/>
          <w:b/>
          <w:bCs/>
          <w:color w:val="2459A8"/>
          <w:sz w:val="26"/>
          <w:szCs w:val="26"/>
        </w:rPr>
        <w:t xml:space="preserve">Módulo 14 — Configuración del Sistema (Admin)</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Gestión de usuarios, roles, permisos y establecimientos. Solo accesible para ADMINISTRADOR y SUPERADMIN. Los cambios en permisos se registran en historial_cambios. El ADMINISTRADOR no tiene acceso a datos clínicos de pacientes.</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usuarios_sistema, roles, permisos_rol, usuarios_establecimientos, establecimientos, establecimientos_especialidades, cat_modulos, historial_cambios</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/admin/usuarios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usuarios del sistema con su rol y establecimientos asignados. Paginado con búsqueda.</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/admin/usuarios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Crea nuevo usuario vinculado a una persona. Asigna rol y establecimiento inicial.</w:t>
            </w:r>
          </w:p>
        </w:tc>
      </w:tr>
      <w:tr>
        <w:tc>
          <w:tcPr>
            <w:tcW w:type="dxa" w:w="1000"/>
            <w:tcBorders>
              <w:top w:val="single" w:color="D4CEC4" w:sz="1"/>
              <w:left w:val="single" w:color="D4CEC4" w:sz="1"/>
              <w:bottom w:val="single" w:color="D4CEC4" w:sz="1"/>
              <w:right w:val="single" w:color="D4CEC4" w:sz="1"/>
            </w:tcBorders>
            <w:shd w:fill="FAE2C2" w:val="clear"/>
            <w:tcMar>
              <w:top w:type="dxa" w:w="70"/>
              <w:left w:type="dxa" w:w="120"/>
              <w:bottom w:type="dxa" w:w="70"/>
              <w:right w:type="dxa" w:w="120"/>
            </w:tcMar>
            <w:vAlign w:val="top"/>
          </w:tcPr>
          <w:p>
            <w:pPr>
              <w:jc w:val="center"/>
            </w:pPr>
            <w:r>
              <w:rPr>
                <w:rFonts w:ascii="Arial" w:cs="Arial" w:eastAsia="Arial" w:hAnsi="Arial"/>
                <w:b/>
                <w:bCs/>
                <w:color w:val="C9720E"/>
                <w:sz w:val="18"/>
                <w:szCs w:val="18"/>
              </w:rPr>
              <w:t xml:space="preserve">PATCH</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/admin/usuarios/{id}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datos del usuario (username, cédula, rol). El cambio se registra en historial_cambios.</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/admin/usuarios/{id}</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Desactiva la cuenta (activo=false). Borrado lógico. El historial de auditoría se preserva.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/admin/roles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roles disponibles con su matriz de permisos por módulo.</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/admin/roles/{id}/permisos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(SUPERADMIN)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Actualiza la matriz CRUD del rol para un módulo específico. Registra cambio en historial_cambios.</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/admin/establecimientos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establecimientos del Distrito con sus especialidades activas.</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/admin/establecimientos/{id}/especialidades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Habilita una especialidad en un establecimiento.</w:t>
            </w:r>
          </w:p>
        </w:tc>
      </w:tr>
      <w:tr>
        <w:tc>
          <w:tcPr>
            <w:tcW w:type="dxa" w:w="1000"/>
            <w:tcBorders>
              <w:top w:val="single" w:color="D4CEC4" w:sz="1"/>
              <w:left w:val="single" w:color="D4CEC4" w:sz="1"/>
              <w:bottom w:val="single" w:color="D4CEC4" w:sz="1"/>
              <w:right w:val="single" w:color="D4CEC4" w:sz="1"/>
            </w:tcBorders>
            <w:shd w:fill="FBDAE0" w:val="clear"/>
            <w:tcMar>
              <w:top w:type="dxa" w:w="70"/>
              <w:left w:type="dxa" w:w="120"/>
              <w:bottom w:type="dxa" w:w="70"/>
              <w:right w:type="dxa" w:w="120"/>
            </w:tcMar>
            <w:vAlign w:val="top"/>
          </w:tcPr>
          <w:p>
            <w:pPr>
              <w:jc w:val="center"/>
            </w:pPr>
            <w:r>
              <w:rPr>
                <w:rFonts w:ascii="Arial" w:cs="Arial" w:eastAsia="Arial" w:hAnsi="Arial"/>
                <w:b/>
                <w:bCs/>
                <w:color w:val="BA2E45"/>
                <w:sz w:val="18"/>
                <w:szCs w:val="18"/>
              </w:rPr>
              <w:t xml:space="preserve">DELETE</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/admin/establecimientos/{id}/especialidades/{id_esp}</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Desactiva una especialidad. Requiere motivo_desactivacion. Registra en historial_cambios.</w:t>
            </w:r>
          </w:p>
        </w:tc>
      </w:tr>
    </w:tbl>
    <w:p>
      <w:r>
        <w:br w:type="page"/>
      </w:r>
    </w:p>
    <w:p>
      <w:pPr>
        <w:pStyle w:val="Heading2"/>
        <w:spacing w:before="280" w:after="140"/>
      </w:pPr>
      <w:r>
        <w:rPr>
          <w:rFonts w:ascii="Arial" w:cs="Arial" w:eastAsia="Arial" w:hAnsi="Arial"/>
          <w:b/>
          <w:bCs/>
          <w:color w:val="2459A8"/>
          <w:sz w:val="26"/>
          <w:szCs w:val="26"/>
        </w:rPr>
        <w:t xml:space="preserve">Módulo 15 — Catálogos</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Endpoints de consulta de catálogos estáticos y clínicos. Los catálogos de solo lectura están replicados en CDN para latencia mínima. Los catálogos geográficos INEGI son la base del domicilio estructurado.</w:t>
      </w:r>
    </w:p>
    <w:p>
      <w:pPr>
        <w:spacing w:before="220" w:after="100"/>
      </w:pPr>
      <w:r>
        <w:rPr>
          <w:rFonts w:ascii="Arial" w:cs="Arial" w:eastAsia="Arial" w:hAnsi="Arial"/>
          <w:b/>
          <w:bCs/>
          <w:color w:val="C9720E"/>
          <w:sz w:val="22"/>
          <w:szCs w:val="22"/>
        </w:rPr>
        <w:t xml:space="preserve">Tablas afectadas</w:t>
      </w:r>
    </w:p>
    <w:p>
      <w:pPr>
        <w:spacing w:before="80" w:after="100"/>
      </w:pPr>
      <w:r>
        <w:rPr>
          <w:rFonts w:ascii="Arial" w:cs="Arial" w:eastAsia="Arial" w:hAnsi="Arial"/>
          <w:color w:val="1A1510"/>
          <w:sz w:val="19"/>
          <w:szCs w:val="19"/>
        </w:rPr>
        <w:t xml:space="preserve">cat_cie10, cat_medicamentos, cat_especialidades_medicas, cat_lenguas_indigenas, cat_modulos, cat_estados, cat_municipios, cat_localidades, jurisdicciones_sanitarias</w:t>
      </w:r>
    </w:p>
    <w:p>
      <w:pPr>
        <w:spacing w:before="220" w:after="100"/>
      </w:pPr>
      <w:r>
        <w:rPr>
          <w:rFonts w:ascii="Arial" w:cs="Arial" w:eastAsia="Arial" w:hAnsi="Arial"/>
          <w:b/>
          <w:bCs/>
          <w:color w:val="C9720E"/>
          <w:sz w:val="22"/>
          <w:szCs w:val="22"/>
        </w:rPr>
        <w:t xml:space="preserve">Estrategia de caché (Cómputo Distribuido)</w:t>
      </w:r>
    </w:p>
    <w:p>
      <w:pPr>
        <w:pStyle w:val="ListParagraph"/>
        <w:numPr>
          <w:ilvl w:val="0"/>
          <w:numId w:val="2"/>
        </w:numPr>
        <w:spacing w:before="50" w:after="50"/>
      </w:pPr>
      <w:r>
        <w:rPr>
          <w:rFonts w:ascii="Arial" w:cs="Arial" w:eastAsia="Arial" w:hAnsi="Arial"/>
          <w:color w:val="1A1510"/>
          <w:sz w:val="19"/>
          <w:szCs w:val="19"/>
        </w:rPr>
        <w:t xml:space="preserve">cat_cie10 y cat_medicamentos: cacheados en Azure CDN. TTL de 24 horas. Invalidados manualmente desde POST /admin/cache/invalidate.</w:t>
      </w:r>
    </w:p>
    <w:p>
      <w:pPr>
        <w:pStyle w:val="ListParagraph"/>
        <w:numPr>
          <w:ilvl w:val="0"/>
          <w:numId w:val="2"/>
        </w:numPr>
        <w:spacing w:before="50" w:after="50"/>
      </w:pPr>
      <w:r>
        <w:rPr>
          <w:rFonts w:ascii="Arial" w:cs="Arial" w:eastAsia="Arial" w:hAnsi="Arial"/>
          <w:color w:val="1A1510"/>
          <w:sz w:val="19"/>
          <w:szCs w:val="19"/>
        </w:rPr>
        <w:t xml:space="preserve">cat_estados, cat_municipios, cat_localidades: cacheados en CDN con TTL de 7 días. Solo cambian cuando el INEGI publica nueva versión del catálogo.</w:t>
      </w:r>
    </w:p>
    <w:p>
      <w:pPr>
        <w:pStyle w:val="ListParagraph"/>
        <w:numPr>
          <w:ilvl w:val="0"/>
          <w:numId w:val="2"/>
        </w:numPr>
        <w:spacing w:before="50" w:after="50"/>
      </w:pPr>
      <w:r>
        <w:rPr>
          <w:rFonts w:ascii="Arial" w:cs="Arial" w:eastAsia="Arial" w:hAnsi="Arial"/>
          <w:color w:val="1A1510"/>
          <w:sz w:val="19"/>
          <w:szCs w:val="19"/>
        </w:rPr>
        <w:t xml:space="preserve">Catálogos de acceso clínico (cat_especialidades_medicas): NO se cachean. Requieren datos en tiempo real para validación de acceso cross-establecimiento.</w:t>
      </w:r>
    </w:p>
    <w:p>
      <w:pPr>
        <w:spacing w:before="220" w:after="100"/>
      </w:pPr>
      <w:r>
        <w:rPr>
          <w:rFonts w:ascii="Arial" w:cs="Arial" w:eastAsia="Arial" w:hAnsi="Arial"/>
          <w:b/>
          <w:bCs/>
          <w:color w:val="C9720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Método</w:t>
            </w:r>
          </w:p>
        </w:tc>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Ruta</w:t>
            </w:r>
          </w:p>
        </w:tc>
        <w:tc>
          <w:tcPr>
            <w:tcW w:type="dxa" w:w="12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Auth requerida</w:t>
            </w:r>
          </w:p>
        </w:tc>
        <w:tc>
          <w:tcPr>
            <w:tcW w:type="dxa" w:w="43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/catalogos/cie10?q={texto}</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Búsqueda de diagnósticos CIE-10 por código o descripción (ILIKE). Máximo 20 resultados. Para autocompletado en frontend.</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/catalogos/medicamentos?q={nombre}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Búsqueda en Cuadro Básico SSA por nombre genérico. Máximo 20 resultados.</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/catalogos/especialidades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de especialidades médicas. Usada en formulario de referencia.</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/catalogos/lenguas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Catálogo INALI de lenguas indígenas de Chiapas.</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/catalogos/jurisdicciones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Jurisdicciones sanitarias del estado con municipio sede.</w:t>
            </w:r>
          </w:p>
        </w:tc>
      </w:tr>
      <w:tr>
        <w:tc>
          <w:tcPr>
            <w:tcW w:type="dxa" w:w="1000"/>
            <w:tcBorders>
              <w:top w:val="single" w:color="D4CEC4" w:sz="1"/>
              <w:left w:val="single" w:color="D4CEC4" w:sz="1"/>
              <w:bottom w:val="single" w:color="D4CEC4" w:sz="1"/>
              <w:right w:val="single" w:color="D4CEC4" w:sz="1"/>
            </w:tcBorders>
            <w:shd w:fill="C3E8D3" w:val="clear"/>
            <w:tcMar>
              <w:top w:type="dxa" w:w="70"/>
              <w:left w:type="dxa" w:w="120"/>
              <w:bottom w:type="dxa" w:w="70"/>
              <w:right w:type="dxa" w:w="120"/>
            </w:tcMar>
            <w:vAlign w:val="top"/>
          </w:tcPr>
          <w:p>
            <w:pPr>
              <w:jc w:val="center"/>
            </w:pPr>
            <w:r>
              <w:rPr>
                <w:rFonts w:ascii="Arial" w:cs="Arial" w:eastAsia="Arial" w:hAnsi="Arial"/>
                <w:b/>
                <w:bCs/>
                <w:color w:val="196038"/>
                <w:sz w:val="18"/>
                <w:szCs w:val="18"/>
              </w:rPr>
              <w:t xml:space="preserve">GET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/catalogos/modulos</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Lista módulos del sistema para configuración de permisos de rol.</w:t>
            </w:r>
          </w:p>
        </w:tc>
      </w:tr>
      <w:tr>
        <w:tc>
          <w:tcPr>
            <w:tcW w:type="dxa" w:w="10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bCs/>
                <w:color w:val="1A4080"/>
                <w:sz w:val="18"/>
                <w:szCs w:val="18"/>
              </w:rPr>
              <w:t xml:space="preserve">POST</w:t>
            </w:r>
          </w:p>
        </w:tc>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2459A8"/>
                <w:sz w:val="19"/>
                <w:szCs w:val="19"/>
              </w:rPr>
              <w:t xml:space="preserve">/admin/cache/invalidate</w:t>
            </w:r>
          </w:p>
        </w:tc>
        <w:tc>
          <w:tcPr>
            <w:tcW w:type="dxa" w:w="120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605850"/>
                <w:sz w:val="17"/>
                <w:szCs w:val="17"/>
              </w:rPr>
              <w:t xml:space="preserve">JWT (SUPERADMIN)</w:t>
            </w:r>
          </w:p>
        </w:tc>
        <w:tc>
          <w:tcPr>
            <w:tcW w:type="dxa" w:w="4360"/>
            <w:tcBorders>
              <w:top w:val="single" w:color="D4CEC4" w:sz="1"/>
              <w:left w:val="single" w:color="D4CEC4" w:sz="1"/>
              <w:bottom w:val="single" w:color="D4CEC4" w:sz="1"/>
              <w:right w:val="single" w:color="D4CEC4"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Fuerza invalidación del cache CDN de catálogos. Para cuando se actualiza CIE-10 o medicamentos.</w:t>
            </w:r>
          </w:p>
        </w:tc>
      </w:tr>
    </w:tbl>
    <w:p>
      <w:pPr>
        <w:spacing w:before="360" w:after="120"/>
      </w:pPr>
      <w:r>
        <w:rPr>
          <w:rFonts w:ascii="Arial" w:cs="Arial" w:eastAsia="Arial" w:hAnsi="Arial"/>
          <w:b/>
          <w:bCs/>
          <w:color w:val="2459A8"/>
          <w:sz w:val="26"/>
          <w:szCs w:val="26"/>
        </w:rPr>
        <w:t xml:space="preserve">Resumen de Vistas SQL</w:t>
      </w:r>
    </w:p>
    <w:p>
      <w:pPr>
        <w:pBdr>
          <w:bottom w:val="single" w:color="2459A8" w:sz="4" w:space="1"/>
        </w:pBdr>
        <w:spacing w:before="100" w:after="100"/>
      </w:pPr>
    </w:p>
    <w:p>
      <w:pPr>
        <w:spacing w:before="80" w:after="100"/>
      </w:pPr>
      <w:r>
        <w:rPr>
          <w:rFonts w:ascii="Arial" w:cs="Arial" w:eastAsia="Arial" w:hAnsi="Arial"/>
          <w:color w:val="1A1510"/>
          <w:sz w:val="19"/>
          <w:szCs w:val="19"/>
        </w:rPr>
        <w:t xml:space="preserve">Las siguientes vistas SQL se definen en database/02_triggers.sql y son consultadas directamente desde los services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Vista</w:t>
            </w:r>
          </w:p>
        </w:tc>
        <w:tc>
          <w:tcPr>
            <w:tcW w:type="dxa" w:w="180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Acceso</w:t>
            </w:r>
          </w:p>
        </w:tc>
        <w:tc>
          <w:tcPr>
            <w:tcW w:type="dxa" w:w="4760"/>
            <w:tcBorders>
              <w:top w:val="single" w:color="D4CEC4" w:sz="1"/>
              <w:left w:val="single" w:color="D4CEC4" w:sz="1"/>
              <w:bottom w:val="single" w:color="D4CEC4" w:sz="1"/>
              <w:right w:val="single" w:color="D4CEC4" w:sz="1"/>
            </w:tcBorders>
            <w:shd w:fill="1A4080"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Propósito</w:t>
            </w:r>
          </w:p>
        </w:tc>
      </w:tr>
      <w:tr>
        <w:tc>
          <w:tcPr>
            <w:tcW w:type="dxa" w:w="2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v_paciente_basico</w:t>
            </w:r>
          </w:p>
        </w:tc>
        <w:tc>
          <w:tcPr>
            <w:tcW w:type="dxa" w:w="180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center"/>
            </w:pPr>
            <w:r>
              <w:rPr>
                <w:rFonts w:ascii="Arial" w:cs="Arial" w:eastAsia="Arial" w:hAnsi="Arial"/>
                <w:b w:val="false"/>
                <w:bCs w:val="false"/>
                <w:color w:val="605850"/>
                <w:sz w:val="19"/>
                <w:szCs w:val="19"/>
              </w:rPr>
              <w:t xml:space="preserve">Roles admin</w:t>
            </w:r>
          </w:p>
        </w:tc>
        <w:tc>
          <w:tcPr>
            <w:tcW w:type="dxa" w:w="4760"/>
            <w:tcBorders>
              <w:top w:val="single" w:color="D4CEC4" w:sz="1"/>
              <w:left w:val="single" w:color="D4CEC4" w:sz="1"/>
              <w:bottom w:val="single" w:color="D4CEC4" w:sz="1"/>
              <w:right w:val="single" w:color="D4CEC4" w:sz="1"/>
            </w:tcBorders>
            <w:shd w:fill="D4E1F5"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Datos básicos del paciente sin CURP ni datos clínicos. Para listados administrativos sin exposición de datos sensibles.</w:t>
            </w:r>
          </w:p>
        </w:tc>
      </w:tr>
      <w:tr>
        <w:tc>
          <w:tcPr>
            <w:tcW w:type="dxa" w:w="2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v_auditoria_estadistica</w:t>
            </w:r>
          </w:p>
        </w:tc>
        <w:tc>
          <w:tcPr>
            <w:tcW w:type="dxa" w:w="180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center"/>
            </w:pPr>
            <w:r>
              <w:rPr>
                <w:rFonts w:ascii="Arial" w:cs="Arial" w:eastAsia="Arial" w:hAnsi="Arial"/>
                <w:b w:val="false"/>
                <w:bCs w:val="false"/>
                <w:color w:val="605850"/>
                <w:sz w:val="19"/>
                <w:szCs w:val="19"/>
              </w:rPr>
              <w:t xml:space="preserve">AUDITOR</w:t>
            </w:r>
          </w:p>
        </w:tc>
        <w:tc>
          <w:tcPr>
            <w:tcW w:type="dxa" w:w="4760"/>
            <w:tcBorders>
              <w:top w:val="single" w:color="D4CEC4" w:sz="1"/>
              <w:left w:val="single" w:color="D4CEC4" w:sz="1"/>
              <w:bottom w:val="single" w:color="D4CEC4" w:sz="1"/>
              <w:right w:val="single" w:color="D4CEC4" w:sz="1"/>
            </w:tcBorders>
            <w:shd w:fill="F5F2EC"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Eventos agrupados por tipo, módulo y fecha sin identificación de usuarios. Para dashboard estadístico del auditor.</w:t>
            </w:r>
          </w:p>
        </w:tc>
      </w:tr>
      <w:tr>
        <w:tc>
          <w:tcPr>
            <w:tcW w:type="dxa" w:w="280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bCs/>
                <w:color w:val="1A1510"/>
                <w:sz w:val="19"/>
                <w:szCs w:val="19"/>
              </w:rPr>
              <w:t xml:space="preserve">v_signos_encuentro</w:t>
            </w:r>
          </w:p>
        </w:tc>
        <w:tc>
          <w:tcPr>
            <w:tcW w:type="dxa" w:w="180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center"/>
            </w:pPr>
            <w:r>
              <w:rPr>
                <w:rFonts w:ascii="Arial" w:cs="Arial" w:eastAsia="Arial" w:hAnsi="Arial"/>
                <w:b w:val="false"/>
                <w:bCs w:val="false"/>
                <w:color w:val="196038"/>
                <w:sz w:val="19"/>
                <w:szCs w:val="19"/>
              </w:rPr>
              <w:t xml:space="preserve">Enfermería</w:t>
            </w:r>
          </w:p>
        </w:tc>
        <w:tc>
          <w:tcPr>
            <w:tcW w:type="dxa" w:w="4760"/>
            <w:tcBorders>
              <w:top w:val="single" w:color="D4CEC4" w:sz="1"/>
              <w:left w:val="single" w:color="D4CEC4" w:sz="1"/>
              <w:bottom w:val="single" w:color="D4CEC4" w:sz="1"/>
              <w:right w:val="single" w:color="D4CEC4" w:sz="1"/>
            </w:tcBorders>
            <w:shd w:fill="EAF6F0" w:val="clear"/>
            <w:tcMar>
              <w:top w:type="dxa" w:w="70"/>
              <w:left w:type="dxa" w:w="120"/>
              <w:bottom w:type="dxa" w:w="70"/>
              <w:right w:type="dxa" w:w="120"/>
            </w:tcMar>
            <w:vAlign w:val="top"/>
          </w:tcPr>
          <w:p>
            <w:pPr>
              <w:jc w:val="left"/>
            </w:pPr>
            <w:r>
              <w:rPr>
                <w:rFonts w:ascii="Arial" w:cs="Arial" w:eastAsia="Arial" w:hAnsi="Arial"/>
                <w:b w:val="false"/>
                <w:bCs w:val="false"/>
                <w:color w:val="1A1510"/>
                <w:sz w:val="19"/>
                <w:szCs w:val="19"/>
              </w:rPr>
              <w:t xml:space="preserve">signos_vitales JOIN encuentros_clinicos. Permite que Enfermería consulte signos sin acceso a notas SOAP.</w:t>
            </w:r>
          </w:p>
        </w:tc>
      </w:tr>
    </w:tbl>
    <w:p>
      <w:pPr>
        <w:spacing w:before="50" w:after="180"/>
        <w:jc w:val="center"/>
      </w:pPr>
      <w:r>
        <w:rPr>
          <w:rFonts w:ascii="Arial" w:cs="Arial" w:eastAsia="Arial" w:hAnsi="Arial"/>
          <w:i/>
          <w:iCs/>
          <w:color w:val="605850"/>
          <w:sz w:val="17"/>
          <w:szCs w:val="17"/>
        </w:rPr>
        <w:t xml:space="preserve">Tabla 15.1 — Vistas SQL de seguridad por nivel de acceso</w:t>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59A8" w:sz="4" w:space="4"/>
      </w:pBdr>
      <w:jc w:val="center"/>
    </w:pPr>
    <w:r>
      <w:rPr>
        <w:rFonts w:ascii="Arial" w:cs="Arial" w:eastAsia="Arial" w:hAnsi="Arial"/>
        <w:color w:val="605850"/>
        <w:sz w:val="16"/>
        <w:szCs w:val="16"/>
      </w:rPr>
      <w:t xml:space="preserve">UNACH · IDTS · 8° Semestre  |  MedIA v1.0  |  Enero–Junio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59A8" w:sz="4" w:space="4"/>
      </w:pBdr>
    </w:pPr>
    <w:r>
      <w:rPr>
        <w:rFonts w:ascii="Arial" w:cs="Arial" w:eastAsia="Arial" w:hAnsi="Arial"/>
        <w:color w:val="605850"/>
        <w:sz w:val="18"/>
        <w:szCs w:val="18"/>
      </w:rPr>
      <w:t xml:space="preserve">MedIA — ECE Distrito de Salud I  |  Doc. 3: Módulos del Sistema y API 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408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459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2026-03-04T06:55:12.242Z</dcterms:created>
  <dcterms:modified xsi:type="dcterms:W3CDTF">2026-03-04T06:55:12.242Z</dcterms:modified>
</cp:coreProperties>
</file>

<file path=docProps/custom.xml><?xml version="1.0" encoding="utf-8"?>
<Properties xmlns="http://schemas.openxmlformats.org/officeDocument/2006/custom-properties" xmlns:vt="http://schemas.openxmlformats.org/officeDocument/2006/docPropsVTypes"/>
</file>