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spacing w:line="300" w:lineRule="auto" w:after="40"/>
        <w:jc w:val="center"/>
      </w:pPr>
      <w:r>
        <w:rPr>
          <w:rFonts w:ascii="仿宋" w:hAnsi="仿宋" w:eastAsia="仿宋"/>
          <w:b/>
          <w:sz w:val="36"/>
        </w:rPr>
        <w:t>面向 FY-4B/AGRI 亮温预测的可信AI治理原型设计</w:t>
      </w:r>
    </w:p>
    <w:p>
      <w:pPr>
        <w:spacing w:line="300" w:lineRule="auto" w:after="40"/>
        <w:jc w:val="center"/>
      </w:pPr>
      <w:r>
        <w:rPr>
          <w:rFonts w:ascii="楷体" w:hAnsi="楷体" w:eastAsia="楷体"/>
          <w:b w:val="0"/>
          <w:sz w:val="24"/>
        </w:rPr>
        <w:t>庄涵（复旦大学，上海 200433）</w:t>
      </w:r>
    </w:p>
    <w:p>
      <w:pPr>
        <w:spacing w:line="300" w:lineRule="auto" w:after="40"/>
      </w:pPr>
      <w:r>
        <w:rPr>
          <w:rFonts w:ascii="宋体" w:hAnsi="宋体" w:eastAsia="宋体"/>
          <w:b w:val="0"/>
          <w:sz w:val="21"/>
        </w:rPr>
      </w:r>
    </w:p>
    <w:p>
      <w:pPr>
        <w:spacing w:line="300" w:lineRule="auto" w:after="40"/>
      </w:pPr>
      <w:r>
        <w:rPr>
          <w:rFonts w:ascii="楷体" w:hAnsi="楷体" w:eastAsia="楷体"/>
          <w:b w:val="0"/>
          <w:sz w:val="21"/>
        </w:rPr>
        <w:t>摘要：本项目属于人工智能伦理与治理课程的第三类选题, 以已有 FY-4B/AGRI 亮温预测模型为基础, 设计并初步实现一个可信AI治理原型。原模型采用 CNN-Transformer 预测下一时次亮温分布, 但深度模型存在黑盒效应, 且气象预测错误可能通过预警研判、应急准备和风险沟通间接影响公共安全。项目并不试图消除黑盒属性, 而是通过数据和模型信息披露、规则驱动风险分级、人工复核和责任记录, 降低模型在高风险气象场景中的误用可能。系统实现包括静态前端、风险计算器、黑盒治理说明、安全影响场景、治理流程展示和问卷反馈分析。</w:t>
      </w:r>
    </w:p>
    <w:p>
      <w:pPr>
        <w:spacing w:line="300" w:lineRule="auto" w:after="40"/>
      </w:pPr>
      <w:r>
        <w:rPr>
          <w:rFonts w:ascii="宋体" w:hAnsi="宋体" w:eastAsia="宋体"/>
          <w:b w:val="0"/>
          <w:sz w:val="21"/>
        </w:rPr>
        <w:t>关键词：FY-4B/AGRI；亮温预测；可信AI治理原型；黑盒效应；人工复核；公共安全</w:t>
      </w:r>
    </w:p>
    <w:p>
      <w:pPr>
        <w:spacing w:line="300" w:lineRule="auto" w:after="40"/>
      </w:pPr>
      <w:r>
        <w:rPr>
          <w:rFonts w:ascii="宋体" w:hAnsi="宋体" w:eastAsia="宋体"/>
          <w:b w:val="0"/>
          <w:sz w:val="21"/>
        </w:rPr>
        <w:t>中图分类号：TP18  文献标识码：A</w:t>
      </w:r>
    </w:p>
    <w:p>
      <w:pPr>
        <w:spacing w:line="300" w:lineRule="auto" w:after="80"/>
      </w:pPr>
      <w:r>
        <w:rPr>
          <w:rFonts w:ascii="黑体" w:hAnsi="黑体" w:eastAsia="黑体"/>
          <w:b/>
          <w:sz w:val="24"/>
        </w:rPr>
        <w:t>一、项目背景与问题提出</w:t>
      </w:r>
    </w:p>
    <w:p>
      <w:pPr>
        <w:spacing w:line="300" w:lineRule="auto" w:after="40"/>
        <w:ind w:firstLine="420"/>
      </w:pPr>
      <w:r>
        <w:rPr>
          <w:rFonts w:ascii="宋体" w:hAnsi="宋体" w:eastAsia="宋体"/>
          <w:b w:val="0"/>
          <w:sz w:val="21"/>
        </w:rPr>
        <w:t>FY-4B/AGRI 卫星遥感数据具有覆盖范围广、时间分辨率高和云区观测能力强等特点, 可用于短临天气分析和云系演变监测。已有实验选择 CH09、CH10、CH12、CH13 四个红外和水汽通道, 以连续两个 30 分钟时次的亮温, 即 brightness temperature, 预测下一时次亮温分布。该模型在总体指标上表现较好, 但 CH12、CH13 窗口通道、低亮温冷云顶、云边界和快速发展云系仍存在较高不确定性。因此, 本项目关注的不是继续追求单一精度提升, 而是面向模型使用环节建立伦理治理机制。</w:t>
      </w:r>
    </w:p>
    <w:p>
      <w:pPr>
        <w:spacing w:line="300" w:lineRule="auto" w:after="40"/>
        <w:ind w:firstLine="420"/>
      </w:pPr>
      <w:r>
        <w:rPr>
          <w:rFonts w:ascii="宋体" w:hAnsi="宋体" w:eastAsia="宋体"/>
          <w:b w:val="0"/>
          <w:sz w:val="21"/>
        </w:rPr>
        <w:t>气象AI预测并非普通图像生成任务。若模型在强对流或低亮温云顶区域出现偏差, 错误输出可能通过预警研判、应急准备和公众风险沟通间接影响公共安全。本项目将原黑盒模型扩展为可解释、可复核、可追溯的可信AI治理原型, 使使用者不仅看到预测结果, 也能看到风险边界和人工复核要求。</w:t>
      </w:r>
    </w:p>
    <w:p>
      <w:pPr>
        <w:spacing w:line="300" w:lineRule="auto" w:after="80"/>
      </w:pPr>
      <w:r>
        <w:rPr>
          <w:rFonts w:ascii="黑体" w:hAnsi="黑体" w:eastAsia="黑体"/>
          <w:b/>
          <w:sz w:val="24"/>
        </w:rPr>
        <w:t>二、系统需求设计</w:t>
      </w:r>
    </w:p>
    <w:p>
      <w:pPr>
        <w:spacing w:line="300" w:lineRule="auto" w:after="60"/>
      </w:pPr>
      <w:r>
        <w:rPr>
          <w:rFonts w:ascii="Times New Roman" w:hAnsi="Times New Roman" w:eastAsia="宋体"/>
          <w:b/>
          <w:sz w:val="21"/>
        </w:rPr>
        <w:t>1. 功能需求</w:t>
      </w:r>
    </w:p>
    <w:p>
      <w:pPr>
        <w:spacing w:line="300" w:lineRule="auto" w:after="40"/>
        <w:ind w:firstLine="420"/>
      </w:pPr>
      <w:r>
        <w:rPr>
          <w:rFonts w:ascii="宋体" w:hAnsi="宋体" w:eastAsia="宋体"/>
          <w:b w:val="0"/>
          <w:sz w:val="21"/>
        </w:rPr>
        <w:t>系统需要展示原模型的通道指标、误差证据和适用边界; 提供交互式风险计算器, 让用户输入预测通道、最低亮温、云区结构、使用场景、数据质量和训练分布外条件; 基于预设规则给出风险提示和建议性治理动作; 同时说明黑盒效应、错误预测的安全后果和人工复核必要性。</w:t>
      </w:r>
    </w:p>
    <w:p>
      <w:pPr>
        <w:spacing w:line="300" w:lineRule="auto" w:after="60"/>
      </w:pPr>
      <w:r>
        <w:rPr>
          <w:rFonts w:ascii="Times New Roman" w:hAnsi="Times New Roman" w:eastAsia="宋体"/>
          <w:b/>
          <w:sz w:val="21"/>
        </w:rPr>
        <w:t>2. 伦理治理需求</w:t>
      </w:r>
    </w:p>
    <w:p>
      <w:pPr>
        <w:spacing w:line="300" w:lineRule="auto" w:after="40"/>
        <w:ind w:firstLine="420"/>
      </w:pPr>
      <w:r>
        <w:rPr>
          <w:rFonts w:ascii="宋体" w:hAnsi="宋体" w:eastAsia="宋体"/>
          <w:b w:val="0"/>
          <w:sz w:val="21"/>
        </w:rPr>
        <w:t>系统需满足透明性、安全可靠、人类监督、可追溯和稳健性需求。透明性要求公开数据来源、模型结构、通道含义和误差分布; 安全可靠要求对低亮温冷云顶、云边界、窗口通道和预警研判场景给出更高风险提示; 人类监督要求高风险和极高风险结果不得直接用于灾害预警发布; 可追溯要求记录模型版本、输入条件、风险等级和复核建议。</w:t>
      </w:r>
    </w:p>
    <w:p>
      <w:pPr>
        <w:jc w:val="center"/>
      </w:pPr>
      <w:r>
        <w:rPr>
          <w:rFonts w:ascii="宋体" w:hAnsi="宋体" w:eastAsia="宋体"/>
          <w:b/>
          <w:sz w:val="21"/>
        </w:rPr>
        <w:t>表1 伦理原则与系统功能对应</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1474"/>
            <w:vAlign w:val="center"/>
            <w:shd w:fill="EAF0F5"/>
          </w:tcPr>
          <w:p>
            <w:pPr>
              <w:jc w:val="left"/>
            </w:pPr>
            <w:r/>
            <w:r>
              <w:rPr>
                <w:rFonts w:ascii="宋体" w:hAnsi="宋体" w:eastAsia="宋体"/>
                <w:b/>
                <w:sz w:val="18"/>
              </w:rPr>
              <w:t>伦理原则</w:t>
            </w:r>
          </w:p>
        </w:tc>
        <w:tc>
          <w:tcPr>
            <w:tcW w:type="dxa" w:w="2438"/>
            <w:vAlign w:val="center"/>
            <w:shd w:fill="EAF0F5"/>
          </w:tcPr>
          <w:p>
            <w:pPr>
              <w:jc w:val="left"/>
            </w:pPr>
            <w:r/>
            <w:r>
              <w:rPr>
                <w:rFonts w:ascii="宋体" w:hAnsi="宋体" w:eastAsia="宋体"/>
                <w:b/>
                <w:sz w:val="18"/>
              </w:rPr>
              <w:t>对应风险</w:t>
            </w:r>
          </w:p>
        </w:tc>
        <w:tc>
          <w:tcPr>
            <w:tcW w:type="dxa" w:w="3855"/>
            <w:vAlign w:val="center"/>
            <w:shd w:fill="EAF0F5"/>
          </w:tcPr>
          <w:p>
            <w:pPr>
              <w:jc w:val="left"/>
            </w:pPr>
            <w:r/>
            <w:r>
              <w:rPr>
                <w:rFonts w:ascii="宋体" w:hAnsi="宋体" w:eastAsia="宋体"/>
                <w:b/>
                <w:sz w:val="18"/>
              </w:rPr>
              <w:t>系统回应</w:t>
            </w:r>
          </w:p>
        </w:tc>
      </w:tr>
      <w:tr>
        <w:tc>
          <w:tcPr>
            <w:tcW w:type="dxa" w:w="1474"/>
            <w:vAlign w:val="center"/>
          </w:tcPr>
          <w:p>
            <w:pPr>
              <w:jc w:val="left"/>
            </w:pPr>
            <w:r/>
            <w:r>
              <w:rPr>
                <w:rFonts w:ascii="宋体" w:hAnsi="宋体" w:eastAsia="宋体"/>
                <w:b w:val="0"/>
                <w:sz w:val="18"/>
              </w:rPr>
              <w:t>透明性</w:t>
            </w:r>
          </w:p>
        </w:tc>
        <w:tc>
          <w:tcPr>
            <w:tcW w:type="dxa" w:w="2438"/>
            <w:vAlign w:val="center"/>
          </w:tcPr>
          <w:p>
            <w:pPr>
              <w:jc w:val="left"/>
            </w:pPr>
            <w:r/>
            <w:r>
              <w:rPr>
                <w:rFonts w:ascii="宋体" w:hAnsi="宋体" w:eastAsia="宋体"/>
                <w:b w:val="0"/>
                <w:sz w:val="18"/>
              </w:rPr>
              <w:t>黑盒模型难以理解</w:t>
            </w:r>
          </w:p>
        </w:tc>
        <w:tc>
          <w:tcPr>
            <w:tcW w:type="dxa" w:w="3855"/>
            <w:vAlign w:val="center"/>
          </w:tcPr>
          <w:p>
            <w:pPr>
              <w:jc w:val="left"/>
            </w:pPr>
            <w:r/>
            <w:r>
              <w:rPr>
                <w:rFonts w:ascii="宋体" w:hAnsi="宋体" w:eastAsia="宋体"/>
                <w:b w:val="0"/>
                <w:sz w:val="18"/>
              </w:rPr>
              <w:t>展示数据来源、模型结构、误差分布</w:t>
            </w:r>
          </w:p>
        </w:tc>
      </w:tr>
      <w:tr>
        <w:tc>
          <w:tcPr>
            <w:tcW w:type="dxa" w:w="1474"/>
            <w:vAlign w:val="center"/>
          </w:tcPr>
          <w:p>
            <w:pPr>
              <w:jc w:val="left"/>
            </w:pPr>
            <w:r/>
            <w:r>
              <w:rPr>
                <w:rFonts w:ascii="宋体" w:hAnsi="宋体" w:eastAsia="宋体"/>
                <w:b w:val="0"/>
                <w:sz w:val="18"/>
              </w:rPr>
              <w:t>安全可靠</w:t>
            </w:r>
          </w:p>
        </w:tc>
        <w:tc>
          <w:tcPr>
            <w:tcW w:type="dxa" w:w="2438"/>
            <w:vAlign w:val="center"/>
          </w:tcPr>
          <w:p>
            <w:pPr>
              <w:jc w:val="left"/>
            </w:pPr>
            <w:r/>
            <w:r>
              <w:rPr>
                <w:rFonts w:ascii="宋体" w:hAnsi="宋体" w:eastAsia="宋体"/>
                <w:b w:val="0"/>
                <w:sz w:val="18"/>
              </w:rPr>
              <w:t>错误预测影响预警判断</w:t>
            </w:r>
          </w:p>
        </w:tc>
        <w:tc>
          <w:tcPr>
            <w:tcW w:type="dxa" w:w="3855"/>
            <w:vAlign w:val="center"/>
          </w:tcPr>
          <w:p>
            <w:pPr>
              <w:jc w:val="left"/>
            </w:pPr>
            <w:r/>
            <w:r>
              <w:rPr>
                <w:rFonts w:ascii="宋体" w:hAnsi="宋体" w:eastAsia="宋体"/>
                <w:b w:val="0"/>
                <w:sz w:val="18"/>
              </w:rPr>
              <w:t>设置风险分级和人工复核</w:t>
            </w:r>
          </w:p>
        </w:tc>
      </w:tr>
      <w:tr>
        <w:tc>
          <w:tcPr>
            <w:tcW w:type="dxa" w:w="1474"/>
            <w:vAlign w:val="center"/>
          </w:tcPr>
          <w:p>
            <w:pPr>
              <w:jc w:val="left"/>
            </w:pPr>
            <w:r/>
            <w:r>
              <w:rPr>
                <w:rFonts w:ascii="宋体" w:hAnsi="宋体" w:eastAsia="宋体"/>
                <w:b w:val="0"/>
                <w:sz w:val="18"/>
              </w:rPr>
              <w:t>人类监督</w:t>
            </w:r>
          </w:p>
        </w:tc>
        <w:tc>
          <w:tcPr>
            <w:tcW w:type="dxa" w:w="2438"/>
            <w:vAlign w:val="center"/>
          </w:tcPr>
          <w:p>
            <w:pPr>
              <w:jc w:val="left"/>
            </w:pPr>
            <w:r/>
            <w:r>
              <w:rPr>
                <w:rFonts w:ascii="宋体" w:hAnsi="宋体" w:eastAsia="宋体"/>
                <w:b w:val="0"/>
                <w:sz w:val="18"/>
              </w:rPr>
              <w:t>自动化依赖</w:t>
            </w:r>
          </w:p>
        </w:tc>
        <w:tc>
          <w:tcPr>
            <w:tcW w:type="dxa" w:w="3855"/>
            <w:vAlign w:val="center"/>
          </w:tcPr>
          <w:p>
            <w:pPr>
              <w:jc w:val="left"/>
            </w:pPr>
            <w:r/>
            <w:r>
              <w:rPr>
                <w:rFonts w:ascii="宋体" w:hAnsi="宋体" w:eastAsia="宋体"/>
                <w:b w:val="0"/>
                <w:sz w:val="18"/>
              </w:rPr>
              <w:t>禁止模型单独触发灾害预警</w:t>
            </w:r>
          </w:p>
        </w:tc>
      </w:tr>
      <w:tr>
        <w:tc>
          <w:tcPr>
            <w:tcW w:type="dxa" w:w="1474"/>
            <w:vAlign w:val="center"/>
          </w:tcPr>
          <w:p>
            <w:pPr>
              <w:jc w:val="left"/>
            </w:pPr>
            <w:r/>
            <w:r>
              <w:rPr>
                <w:rFonts w:ascii="宋体" w:hAnsi="宋体" w:eastAsia="宋体"/>
                <w:b w:val="0"/>
                <w:sz w:val="18"/>
              </w:rPr>
              <w:t>可追溯</w:t>
            </w:r>
          </w:p>
        </w:tc>
        <w:tc>
          <w:tcPr>
            <w:tcW w:type="dxa" w:w="2438"/>
            <w:vAlign w:val="center"/>
          </w:tcPr>
          <w:p>
            <w:pPr>
              <w:jc w:val="left"/>
            </w:pPr>
            <w:r/>
            <w:r>
              <w:rPr>
                <w:rFonts w:ascii="宋体" w:hAnsi="宋体" w:eastAsia="宋体"/>
                <w:b w:val="0"/>
                <w:sz w:val="18"/>
              </w:rPr>
              <w:t>责任边界不清</w:t>
            </w:r>
          </w:p>
        </w:tc>
        <w:tc>
          <w:tcPr>
            <w:tcW w:type="dxa" w:w="3855"/>
            <w:vAlign w:val="center"/>
          </w:tcPr>
          <w:p>
            <w:pPr>
              <w:jc w:val="left"/>
            </w:pPr>
            <w:r/>
            <w:r>
              <w:rPr>
                <w:rFonts w:ascii="宋体" w:hAnsi="宋体" w:eastAsia="宋体"/>
                <w:b w:val="0"/>
                <w:sz w:val="18"/>
              </w:rPr>
              <w:t>记录版本、输入条件和复核意见</w:t>
            </w:r>
          </w:p>
        </w:tc>
      </w:tr>
      <w:tr>
        <w:tc>
          <w:tcPr>
            <w:tcW w:type="dxa" w:w="1474"/>
            <w:vAlign w:val="center"/>
          </w:tcPr>
          <w:p>
            <w:pPr>
              <w:jc w:val="left"/>
            </w:pPr>
            <w:r/>
            <w:r>
              <w:rPr>
                <w:rFonts w:ascii="宋体" w:hAnsi="宋体" w:eastAsia="宋体"/>
                <w:b w:val="0"/>
                <w:sz w:val="18"/>
              </w:rPr>
              <w:t>稳健性</w:t>
            </w:r>
          </w:p>
        </w:tc>
        <w:tc>
          <w:tcPr>
            <w:tcW w:type="dxa" w:w="2438"/>
            <w:vAlign w:val="center"/>
          </w:tcPr>
          <w:p>
            <w:pPr>
              <w:jc w:val="left"/>
            </w:pPr>
            <w:r/>
            <w:r>
              <w:rPr>
                <w:rFonts w:ascii="宋体" w:hAnsi="宋体" w:eastAsia="宋体"/>
                <w:b w:val="0"/>
                <w:sz w:val="18"/>
              </w:rPr>
              <w:t>分布外数据导致偏差</w:t>
            </w:r>
          </w:p>
        </w:tc>
        <w:tc>
          <w:tcPr>
            <w:tcW w:type="dxa" w:w="3855"/>
            <w:vAlign w:val="center"/>
          </w:tcPr>
          <w:p>
            <w:pPr>
              <w:jc w:val="left"/>
            </w:pPr>
            <w:r/>
            <w:r>
              <w:rPr>
                <w:rFonts w:ascii="宋体" w:hAnsi="宋体" w:eastAsia="宋体"/>
                <w:b w:val="0"/>
                <w:sz w:val="18"/>
              </w:rPr>
              <w:t>标记跨季节、跨区域和极端天气场景</w:t>
            </w:r>
          </w:p>
        </w:tc>
      </w:tr>
    </w:tbl>
    <w:p/>
    <w:p>
      <w:pPr>
        <w:spacing w:line="300" w:lineRule="auto" w:after="80"/>
      </w:pPr>
      <w:r>
        <w:rPr>
          <w:rFonts w:ascii="黑体" w:hAnsi="黑体" w:eastAsia="黑体"/>
          <w:b/>
          <w:sz w:val="24"/>
        </w:rPr>
        <w:t>三、系统总体设计</w:t>
      </w:r>
    </w:p>
    <w:p>
      <w:pPr>
        <w:spacing w:line="300" w:lineRule="auto" w:after="40"/>
        <w:ind w:firstLine="420"/>
      </w:pPr>
      <w:r>
        <w:rPr>
          <w:rFonts w:ascii="宋体" w:hAnsi="宋体" w:eastAsia="宋体"/>
          <w:b w:val="0"/>
          <w:sz w:val="21"/>
        </w:rPr>
        <w:t>系统采用“模型结果层—风险治理层—伦理说明层—反馈分析层”的结构。模型结果层读取已有实验中的通道指标、预测图和误差图; 风险治理层根据用户输入计算风险等级; 伦理说明层解释黑盒效应、公共安全影响和责任边界; 反馈分析层读取问卷 Excel, 生成量表统计和开放题编码。技术栈包括 HTML、CSS、JavaScript 静态前端, Python 分析脚本, openpyxl 读取问卷, python-docx 生成 Word 文档。当前项目未发布公开 GitHub 或 Gitee 仓库, 但系统实现随本地压缩包提交, 可直接打开 frontend/index.html 运行。系统输入不是新的业务预报指令, 而是对既有预测结果的使用条件描述; 系统输出也不是预警结论, 而是风险提示、复核建议和责任记录要求。这种设计能够把模型从单一技术工具转化为带有使用边界的治理对象。</w:t>
      </w:r>
    </w:p>
    <w:p>
      <w:pPr>
        <w:jc w:val="center"/>
      </w:pPr>
      <w:r>
        <w:rPr>
          <w:rFonts w:ascii="宋体" w:hAnsi="宋体" w:eastAsia="宋体"/>
          <w:b/>
          <w:sz w:val="21"/>
        </w:rPr>
        <w:t>表2 作业要求与本文内容对应</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5"/>
        <w:gridCol w:w="4535"/>
      </w:tblGrid>
      <w:tr>
        <w:tc>
          <w:tcPr>
            <w:tcW w:type="dxa" w:w="2381"/>
            <w:vAlign w:val="center"/>
            <w:shd w:fill="EAF0F5"/>
          </w:tcPr>
          <w:p>
            <w:pPr>
              <w:jc w:val="left"/>
            </w:pPr>
            <w:r/>
            <w:r>
              <w:rPr>
                <w:rFonts w:ascii="宋体" w:hAnsi="宋体" w:eastAsia="宋体"/>
                <w:b/>
                <w:sz w:val="18"/>
              </w:rPr>
              <w:t>题目要求</w:t>
            </w:r>
          </w:p>
        </w:tc>
        <w:tc>
          <w:tcPr>
            <w:tcW w:type="dxa" w:w="5329"/>
            <w:vAlign w:val="center"/>
            <w:shd w:fill="EAF0F5"/>
          </w:tcPr>
          <w:p>
            <w:pPr>
              <w:jc w:val="left"/>
            </w:pPr>
            <w:r/>
            <w:r>
              <w:rPr>
                <w:rFonts w:ascii="宋体" w:hAnsi="宋体" w:eastAsia="宋体"/>
                <w:b/>
                <w:sz w:val="18"/>
              </w:rPr>
              <w:t>本文对应内容</w:t>
            </w:r>
          </w:p>
        </w:tc>
      </w:tr>
      <w:tr>
        <w:tc>
          <w:tcPr>
            <w:tcW w:type="dxa" w:w="2381"/>
            <w:vAlign w:val="center"/>
          </w:tcPr>
          <w:p>
            <w:pPr>
              <w:jc w:val="left"/>
            </w:pPr>
            <w:r/>
            <w:r>
              <w:rPr>
                <w:rFonts w:ascii="宋体" w:hAnsi="宋体" w:eastAsia="宋体"/>
                <w:b w:val="0"/>
                <w:sz w:val="18"/>
              </w:rPr>
              <w:t>项目背景</w:t>
            </w:r>
          </w:p>
        </w:tc>
        <w:tc>
          <w:tcPr>
            <w:tcW w:type="dxa" w:w="5329"/>
            <w:vAlign w:val="center"/>
          </w:tcPr>
          <w:p>
            <w:pPr>
              <w:jc w:val="left"/>
            </w:pPr>
            <w:r/>
            <w:r>
              <w:rPr>
                <w:rFonts w:ascii="宋体" w:hAnsi="宋体" w:eastAsia="宋体"/>
                <w:b w:val="0"/>
                <w:sz w:val="18"/>
              </w:rPr>
              <w:t>第一部分说明气象AI预测的公共安全属性和黑盒风险</w:t>
            </w:r>
          </w:p>
        </w:tc>
      </w:tr>
      <w:tr>
        <w:tc>
          <w:tcPr>
            <w:tcW w:type="dxa" w:w="2381"/>
            <w:vAlign w:val="center"/>
          </w:tcPr>
          <w:p>
            <w:pPr>
              <w:jc w:val="left"/>
            </w:pPr>
            <w:r/>
            <w:r>
              <w:rPr>
                <w:rFonts w:ascii="宋体" w:hAnsi="宋体" w:eastAsia="宋体"/>
                <w:b w:val="0"/>
                <w:sz w:val="18"/>
              </w:rPr>
              <w:t>系统需求设计</w:t>
            </w:r>
          </w:p>
        </w:tc>
        <w:tc>
          <w:tcPr>
            <w:tcW w:type="dxa" w:w="5329"/>
            <w:vAlign w:val="center"/>
          </w:tcPr>
          <w:p>
            <w:pPr>
              <w:jc w:val="left"/>
            </w:pPr>
            <w:r/>
            <w:r>
              <w:rPr>
                <w:rFonts w:ascii="宋体" w:hAnsi="宋体" w:eastAsia="宋体"/>
                <w:b w:val="0"/>
                <w:sz w:val="18"/>
              </w:rPr>
              <w:t>第二部分列出功能需求、伦理治理需求和非功能需求</w:t>
            </w:r>
          </w:p>
        </w:tc>
      </w:tr>
      <w:tr>
        <w:tc>
          <w:tcPr>
            <w:tcW w:type="dxa" w:w="2381"/>
            <w:vAlign w:val="center"/>
          </w:tcPr>
          <w:p>
            <w:pPr>
              <w:jc w:val="left"/>
            </w:pPr>
            <w:r/>
            <w:r>
              <w:rPr>
                <w:rFonts w:ascii="宋体" w:hAnsi="宋体" w:eastAsia="宋体"/>
                <w:b w:val="0"/>
                <w:sz w:val="18"/>
              </w:rPr>
              <w:t>详细设计</w:t>
            </w:r>
          </w:p>
        </w:tc>
        <w:tc>
          <w:tcPr>
            <w:tcW w:type="dxa" w:w="5329"/>
            <w:vAlign w:val="center"/>
          </w:tcPr>
          <w:p>
            <w:pPr>
              <w:jc w:val="left"/>
            </w:pPr>
            <w:r/>
            <w:r>
              <w:rPr>
                <w:rFonts w:ascii="宋体" w:hAnsi="宋体" w:eastAsia="宋体"/>
                <w:b w:val="0"/>
                <w:sz w:val="18"/>
              </w:rPr>
              <w:t>第四部分说明风险评分、黑盒治理、安全影响和责任流程</w:t>
            </w:r>
          </w:p>
        </w:tc>
      </w:tr>
      <w:tr>
        <w:tc>
          <w:tcPr>
            <w:tcW w:type="dxa" w:w="2381"/>
            <w:vAlign w:val="center"/>
          </w:tcPr>
          <w:p>
            <w:pPr>
              <w:jc w:val="left"/>
            </w:pPr>
            <w:r/>
            <w:r>
              <w:rPr>
                <w:rFonts w:ascii="宋体" w:hAnsi="宋体" w:eastAsia="宋体"/>
                <w:b w:val="0"/>
                <w:sz w:val="18"/>
              </w:rPr>
              <w:t>系统使用说明</w:t>
            </w:r>
          </w:p>
        </w:tc>
        <w:tc>
          <w:tcPr>
            <w:tcW w:type="dxa" w:w="5329"/>
            <w:vAlign w:val="center"/>
          </w:tcPr>
          <w:p>
            <w:pPr>
              <w:jc w:val="left"/>
            </w:pPr>
            <w:r/>
            <w:r>
              <w:rPr>
                <w:rFonts w:ascii="宋体" w:hAnsi="宋体" w:eastAsia="宋体"/>
                <w:b w:val="0"/>
                <w:sz w:val="18"/>
              </w:rPr>
              <w:t>第五部分给出前端入口、输入输出和典型高风险场景</w:t>
            </w:r>
          </w:p>
        </w:tc>
      </w:tr>
      <w:tr>
        <w:tc>
          <w:tcPr>
            <w:tcW w:type="dxa" w:w="2381"/>
            <w:vAlign w:val="center"/>
          </w:tcPr>
          <w:p>
            <w:pPr>
              <w:jc w:val="left"/>
            </w:pPr>
            <w:r/>
            <w:r>
              <w:rPr>
                <w:rFonts w:ascii="宋体" w:hAnsi="宋体" w:eastAsia="宋体"/>
                <w:b w:val="0"/>
                <w:sz w:val="18"/>
              </w:rPr>
              <w:t>初步使用反馈</w:t>
            </w:r>
          </w:p>
        </w:tc>
        <w:tc>
          <w:tcPr>
            <w:tcW w:type="dxa" w:w="5329"/>
            <w:vAlign w:val="center"/>
          </w:tcPr>
          <w:p>
            <w:pPr>
              <w:jc w:val="left"/>
            </w:pPr>
            <w:r/>
            <w:r>
              <w:rPr>
                <w:rFonts w:ascii="宋体" w:hAnsi="宋体" w:eastAsia="宋体"/>
                <w:b w:val="0"/>
                <w:sz w:val="18"/>
              </w:rPr>
              <w:t>第六部分分析 7 份问卷的描述性统计和开放题</w:t>
            </w:r>
          </w:p>
        </w:tc>
      </w:tr>
    </w:tbl>
    <w:p/>
    <w:p>
      <w:pPr>
        <w:jc w:val="center"/>
      </w:pPr>
      <w:r>
        <w:drawing>
          <wp:inline xmlns:a="http://schemas.openxmlformats.org/drawingml/2006/main" xmlns:pic="http://schemas.openxmlformats.org/drawingml/2006/picture">
            <wp:extent cx="4860000" cy="4630500"/>
            <wp:docPr id="1" name="Picture 1"/>
            <wp:cNvGraphicFramePr>
              <a:graphicFrameLocks noChangeAspect="1"/>
            </wp:cNvGraphicFramePr>
            <a:graphic>
              <a:graphicData uri="http://schemas.openxmlformats.org/drawingml/2006/picture">
                <pic:pic>
                  <pic:nvPicPr>
                    <pic:cNvPr id="0" name="desktop-dashboard.png"/>
                    <pic:cNvPicPr/>
                  </pic:nvPicPr>
                  <pic:blipFill>
                    <a:blip r:embed="rId12"/>
                    <a:stretch>
                      <a:fillRect/>
                    </a:stretch>
                  </pic:blipFill>
                  <pic:spPr>
                    <a:xfrm>
                      <a:off x="0" y="0"/>
                      <a:ext cx="4860000" cy="4630500"/>
                    </a:xfrm>
                    <a:prstGeom prst="rect"/>
                  </pic:spPr>
                </pic:pic>
              </a:graphicData>
            </a:graphic>
          </wp:inline>
        </w:drawing>
      </w:r>
    </w:p>
    <w:p>
      <w:pPr>
        <w:jc w:val="center"/>
      </w:pPr>
      <w:r>
        <w:rPr>
          <w:rFonts w:ascii="宋体" w:hAnsi="宋体" w:eastAsia="宋体"/>
          <w:b w:val="0"/>
          <w:sz w:val="18"/>
        </w:rPr>
        <w:t>图1 前端总览页面</w:t>
      </w:r>
    </w:p>
    <w:p>
      <w:pPr>
        <w:spacing w:line="300" w:lineRule="auto" w:after="80"/>
      </w:pPr>
      <w:r>
        <w:rPr>
          <w:rFonts w:ascii="黑体" w:hAnsi="黑体" w:eastAsia="黑体"/>
          <w:b/>
          <w:sz w:val="24"/>
        </w:rPr>
        <w:t>四、关键模块详细设计</w:t>
      </w:r>
    </w:p>
    <w:p>
      <w:pPr>
        <w:spacing w:line="300" w:lineRule="auto" w:after="60"/>
      </w:pPr>
      <w:r>
        <w:rPr>
          <w:rFonts w:ascii="Times New Roman" w:hAnsi="Times New Roman" w:eastAsia="宋体"/>
          <w:b/>
          <w:sz w:val="21"/>
        </w:rPr>
        <w:t>1. 风险计算模块</w:t>
      </w:r>
    </w:p>
    <w:p>
      <w:pPr>
        <w:spacing w:line="300" w:lineRule="auto" w:after="40"/>
        <w:ind w:firstLine="420"/>
      </w:pPr>
      <w:r>
        <w:rPr>
          <w:rFonts w:ascii="宋体" w:hAnsi="宋体" w:eastAsia="宋体"/>
          <w:b w:val="0"/>
          <w:sz w:val="21"/>
        </w:rPr>
        <w:t>本系统采用规则驱动的风险评分方法。风险因素包括通道类型、最低亮温、云区结构、使用场景、数据质量和是否处于训练分布外。CH12、CH13 因实验中 RMSE 高于水汽通道而设置较高基础风险; 最低亮温低于 200 K 或 220 K 时提升风险, 其中 180 K 被用作问卷测试中的典型高风险案例; 云边界、快速发展和预警研判场景进一步提高治理等级。该方法的优点是透明、易解释, 适合课程项目原型; 局限是阈值和权重主要依据模型误差分析与领域经验, 尚未经过多天气过程验证。因此, 前端界面始终使用“建议性治理动作”而非“决策命令”的表述, 以避免用户把规则评分误读为正式业务规范。</w:t>
      </w:r>
    </w:p>
    <w:p>
      <w:pPr>
        <w:jc w:val="center"/>
      </w:pPr>
      <w:r>
        <w:rPr>
          <w:rFonts w:ascii="宋体" w:hAnsi="宋体" w:eastAsia="宋体"/>
          <w:b/>
          <w:sz w:val="21"/>
        </w:rPr>
        <w:t>表3 风险等级与治理动作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1417"/>
            <w:vAlign w:val="center"/>
            <w:shd w:fill="EAF0F5"/>
          </w:tcPr>
          <w:p>
            <w:pPr>
              <w:jc w:val="left"/>
            </w:pPr>
            <w:r/>
            <w:r>
              <w:rPr>
                <w:rFonts w:ascii="宋体" w:hAnsi="宋体" w:eastAsia="宋体"/>
                <w:b/>
                <w:sz w:val="18"/>
              </w:rPr>
              <w:t>等级</w:t>
            </w:r>
          </w:p>
        </w:tc>
        <w:tc>
          <w:tcPr>
            <w:tcW w:type="dxa" w:w="1587"/>
            <w:vAlign w:val="center"/>
            <w:shd w:fill="EAF0F5"/>
          </w:tcPr>
          <w:p>
            <w:pPr>
              <w:jc w:val="left"/>
            </w:pPr>
            <w:r/>
            <w:r>
              <w:rPr>
                <w:rFonts w:ascii="宋体" w:hAnsi="宋体" w:eastAsia="宋体"/>
                <w:b/>
                <w:sz w:val="18"/>
              </w:rPr>
              <w:t>分数范围</w:t>
            </w:r>
          </w:p>
        </w:tc>
        <w:tc>
          <w:tcPr>
            <w:tcW w:type="dxa" w:w="4535"/>
            <w:vAlign w:val="center"/>
            <w:shd w:fill="EAF0F5"/>
          </w:tcPr>
          <w:p>
            <w:pPr>
              <w:jc w:val="left"/>
            </w:pPr>
            <w:r/>
            <w:r>
              <w:rPr>
                <w:rFonts w:ascii="宋体" w:hAnsi="宋体" w:eastAsia="宋体"/>
                <w:b/>
                <w:sz w:val="18"/>
              </w:rPr>
              <w:t>治理动作</w:t>
            </w:r>
          </w:p>
        </w:tc>
      </w:tr>
      <w:tr>
        <w:tc>
          <w:tcPr>
            <w:tcW w:type="dxa" w:w="1417"/>
            <w:vAlign w:val="center"/>
          </w:tcPr>
          <w:p>
            <w:pPr>
              <w:jc w:val="left"/>
            </w:pPr>
            <w:r/>
            <w:r>
              <w:rPr>
                <w:rFonts w:ascii="宋体" w:hAnsi="宋体" w:eastAsia="宋体"/>
                <w:b w:val="0"/>
                <w:sz w:val="18"/>
              </w:rPr>
              <w:t>低风险</w:t>
            </w:r>
          </w:p>
        </w:tc>
        <w:tc>
          <w:tcPr>
            <w:tcW w:type="dxa" w:w="1587"/>
            <w:vAlign w:val="center"/>
          </w:tcPr>
          <w:p>
            <w:pPr>
              <w:jc w:val="left"/>
            </w:pPr>
            <w:r/>
            <w:r>
              <w:rPr>
                <w:rFonts w:ascii="宋体" w:hAnsi="宋体" w:eastAsia="宋体"/>
                <w:b w:val="0"/>
                <w:sz w:val="18"/>
              </w:rPr>
              <w:t>低于32</w:t>
            </w:r>
          </w:p>
        </w:tc>
        <w:tc>
          <w:tcPr>
            <w:tcW w:type="dxa" w:w="4535"/>
            <w:vAlign w:val="center"/>
          </w:tcPr>
          <w:p>
            <w:pPr>
              <w:jc w:val="left"/>
            </w:pPr>
            <w:r/>
            <w:r>
              <w:rPr>
                <w:rFonts w:ascii="宋体" w:hAnsi="宋体" w:eastAsia="宋体"/>
                <w:b w:val="0"/>
                <w:sz w:val="18"/>
              </w:rPr>
              <w:t>可作短时趋势参考, 保留数据和模型记录</w:t>
            </w:r>
          </w:p>
        </w:tc>
      </w:tr>
      <w:tr>
        <w:tc>
          <w:tcPr>
            <w:tcW w:type="dxa" w:w="1417"/>
            <w:vAlign w:val="center"/>
          </w:tcPr>
          <w:p>
            <w:pPr>
              <w:jc w:val="left"/>
            </w:pPr>
            <w:r/>
            <w:r>
              <w:rPr>
                <w:rFonts w:ascii="宋体" w:hAnsi="宋体" w:eastAsia="宋体"/>
                <w:b w:val="0"/>
                <w:sz w:val="18"/>
              </w:rPr>
              <w:t>中风险</w:t>
            </w:r>
          </w:p>
        </w:tc>
        <w:tc>
          <w:tcPr>
            <w:tcW w:type="dxa" w:w="1587"/>
            <w:vAlign w:val="center"/>
          </w:tcPr>
          <w:p>
            <w:pPr>
              <w:jc w:val="left"/>
            </w:pPr>
            <w:r/>
            <w:r>
              <w:rPr>
                <w:rFonts w:ascii="宋体" w:hAnsi="宋体" w:eastAsia="宋体"/>
                <w:b w:val="0"/>
                <w:sz w:val="18"/>
              </w:rPr>
              <w:t>32-54</w:t>
            </w:r>
          </w:p>
        </w:tc>
        <w:tc>
          <w:tcPr>
            <w:tcW w:type="dxa" w:w="4535"/>
            <w:vAlign w:val="center"/>
          </w:tcPr>
          <w:p>
            <w:pPr>
              <w:jc w:val="left"/>
            </w:pPr>
            <w:r/>
            <w:r>
              <w:rPr>
                <w:rFonts w:ascii="宋体" w:hAnsi="宋体" w:eastAsia="宋体"/>
                <w:b w:val="0"/>
                <w:sz w:val="18"/>
              </w:rPr>
              <w:t>查看误差图并进行交叉验证</w:t>
            </w:r>
          </w:p>
        </w:tc>
      </w:tr>
      <w:tr>
        <w:tc>
          <w:tcPr>
            <w:tcW w:type="dxa" w:w="1417"/>
            <w:vAlign w:val="center"/>
          </w:tcPr>
          <w:p>
            <w:pPr>
              <w:jc w:val="left"/>
            </w:pPr>
            <w:r/>
            <w:r>
              <w:rPr>
                <w:rFonts w:ascii="宋体" w:hAnsi="宋体" w:eastAsia="宋体"/>
                <w:b w:val="0"/>
                <w:sz w:val="18"/>
              </w:rPr>
              <w:t>高风险</w:t>
            </w:r>
          </w:p>
        </w:tc>
        <w:tc>
          <w:tcPr>
            <w:tcW w:type="dxa" w:w="1587"/>
            <w:vAlign w:val="center"/>
          </w:tcPr>
          <w:p>
            <w:pPr>
              <w:jc w:val="left"/>
            </w:pPr>
            <w:r/>
            <w:r>
              <w:rPr>
                <w:rFonts w:ascii="宋体" w:hAnsi="宋体" w:eastAsia="宋体"/>
                <w:b w:val="0"/>
                <w:sz w:val="18"/>
              </w:rPr>
              <w:t>55-77</w:t>
            </w:r>
          </w:p>
        </w:tc>
        <w:tc>
          <w:tcPr>
            <w:tcW w:type="dxa" w:w="4535"/>
            <w:vAlign w:val="center"/>
          </w:tcPr>
          <w:p>
            <w:pPr>
              <w:jc w:val="left"/>
            </w:pPr>
            <w:r/>
            <w:r>
              <w:rPr>
                <w:rFonts w:ascii="宋体" w:hAnsi="宋体" w:eastAsia="宋体"/>
                <w:b w:val="0"/>
                <w:sz w:val="18"/>
              </w:rPr>
              <w:t>必须人工复核, 结合多源观测</w:t>
            </w:r>
          </w:p>
        </w:tc>
      </w:tr>
      <w:tr>
        <w:tc>
          <w:tcPr>
            <w:tcW w:type="dxa" w:w="1417"/>
            <w:vAlign w:val="center"/>
          </w:tcPr>
          <w:p>
            <w:pPr>
              <w:jc w:val="left"/>
            </w:pPr>
            <w:r/>
            <w:r>
              <w:rPr>
                <w:rFonts w:ascii="宋体" w:hAnsi="宋体" w:eastAsia="宋体"/>
                <w:b w:val="0"/>
                <w:sz w:val="18"/>
              </w:rPr>
              <w:t>极高风险</w:t>
            </w:r>
          </w:p>
        </w:tc>
        <w:tc>
          <w:tcPr>
            <w:tcW w:type="dxa" w:w="1587"/>
            <w:vAlign w:val="center"/>
          </w:tcPr>
          <w:p>
            <w:pPr>
              <w:jc w:val="left"/>
            </w:pPr>
            <w:r/>
            <w:r>
              <w:rPr>
                <w:rFonts w:ascii="宋体" w:hAnsi="宋体" w:eastAsia="宋体"/>
                <w:b w:val="0"/>
                <w:sz w:val="18"/>
              </w:rPr>
              <w:t>78及以上</w:t>
            </w:r>
          </w:p>
        </w:tc>
        <w:tc>
          <w:tcPr>
            <w:tcW w:type="dxa" w:w="4535"/>
            <w:vAlign w:val="center"/>
          </w:tcPr>
          <w:p>
            <w:pPr>
              <w:jc w:val="left"/>
            </w:pPr>
            <w:r/>
            <w:r>
              <w:rPr>
                <w:rFonts w:ascii="宋体" w:hAnsi="宋体" w:eastAsia="宋体"/>
                <w:b w:val="0"/>
                <w:sz w:val="18"/>
              </w:rPr>
              <w:t>不建议用于决策, 禁止自动触发预警</w:t>
            </w:r>
          </w:p>
        </w:tc>
      </w:tr>
    </w:tbl>
    <w:p/>
    <w:p>
      <w:pPr>
        <w:jc w:val="center"/>
      </w:pPr>
      <w:r>
        <w:drawing>
          <wp:inline xmlns:a="http://schemas.openxmlformats.org/drawingml/2006/main" xmlns:pic="http://schemas.openxmlformats.org/drawingml/2006/picture">
            <wp:extent cx="4860000" cy="3375000"/>
            <wp:docPr id="2" name="Picture 2"/>
            <wp:cNvGraphicFramePr>
              <a:graphicFrameLocks noChangeAspect="1"/>
            </wp:cNvGraphicFramePr>
            <a:graphic>
              <a:graphicData uri="http://schemas.openxmlformats.org/drawingml/2006/picture">
                <pic:pic>
                  <pic:nvPicPr>
                    <pic:cNvPr id="0" name="desktop-risk.png"/>
                    <pic:cNvPicPr/>
                  </pic:nvPicPr>
                  <pic:blipFill>
                    <a:blip r:embed="rId13"/>
                    <a:stretch>
                      <a:fillRect/>
                    </a:stretch>
                  </pic:blipFill>
                  <pic:spPr>
                    <a:xfrm>
                      <a:off x="0" y="0"/>
                      <a:ext cx="4860000" cy="3375000"/>
                    </a:xfrm>
                    <a:prstGeom prst="rect"/>
                  </pic:spPr>
                </pic:pic>
              </a:graphicData>
            </a:graphic>
          </wp:inline>
        </w:drawing>
      </w:r>
    </w:p>
    <w:p>
      <w:pPr>
        <w:jc w:val="center"/>
      </w:pPr>
      <w:r>
        <w:rPr>
          <w:rFonts w:ascii="宋体" w:hAnsi="宋体" w:eastAsia="宋体"/>
          <w:b w:val="0"/>
          <w:sz w:val="18"/>
        </w:rPr>
        <w:t>图2 风险计算器高风险场景示例</w:t>
      </w:r>
    </w:p>
    <w:p>
      <w:pPr>
        <w:spacing w:line="300" w:lineRule="auto" w:after="60"/>
      </w:pPr>
      <w:r>
        <w:rPr>
          <w:rFonts w:ascii="Times New Roman" w:hAnsi="Times New Roman" w:eastAsia="宋体"/>
          <w:b/>
          <w:sz w:val="21"/>
        </w:rPr>
        <w:t>2. 黑盒治理与安全影响模块</w:t>
      </w:r>
    </w:p>
    <w:p>
      <w:pPr>
        <w:spacing w:line="300" w:lineRule="auto" w:after="40"/>
        <w:ind w:firstLine="420"/>
      </w:pPr>
      <w:r>
        <w:rPr>
          <w:rFonts w:ascii="宋体" w:hAnsi="宋体" w:eastAsia="宋体"/>
          <w:b w:val="0"/>
          <w:sz w:val="21"/>
        </w:rPr>
        <w:t>黑盒治理模块强调治理不是让深度模型完全透明, 而是降低不可解释性带来的误用风险。系统通过模型卡、误差图、通道说明和风险规则, 提醒用户预测图并不等于确定事实。安全影响模块把技术误差转化为具体场景: 漏报强对流冷云顶可能削弱对强降水风险的关注; 误报高风险云区可能造成资源误配和预警疲劳; 自动化依赖可能使使用者忽视业务经验。这些场景使伦理风险从抽象原则转化为可被用户讨论和判断的操作问题。</w:t>
      </w:r>
    </w:p>
    <w:p>
      <w:pPr>
        <w:spacing w:line="300" w:lineRule="auto" w:after="60"/>
      </w:pPr>
      <w:r>
        <w:rPr>
          <w:rFonts w:ascii="Times New Roman" w:hAnsi="Times New Roman" w:eastAsia="宋体"/>
          <w:b/>
          <w:sz w:val="21"/>
        </w:rPr>
        <w:t>3. 治理流程与责任模块</w:t>
      </w:r>
    </w:p>
    <w:p>
      <w:pPr>
        <w:spacing w:line="300" w:lineRule="auto" w:after="40"/>
        <w:ind w:firstLine="420"/>
      </w:pPr>
      <w:r>
        <w:rPr>
          <w:rFonts w:ascii="宋体" w:hAnsi="宋体" w:eastAsia="宋体"/>
          <w:b w:val="0"/>
          <w:sz w:val="21"/>
        </w:rPr>
        <w:t>治理流程包括数据进入、模型预测、风险分级、复核门禁和审计留痕。数据处理者负责数据来源和质量控制; 模型开发者负责指标、误差和适用边界说明; 预报复核者负责高风险结果的人工复核; 项目维护者负责问卷反馈、阈值更新和版本记录。</w:t>
      </w:r>
    </w:p>
    <w:p>
      <w:pPr>
        <w:jc w:val="center"/>
      </w:pPr>
      <w:r>
        <w:drawing>
          <wp:inline xmlns:a="http://schemas.openxmlformats.org/drawingml/2006/main" xmlns:pic="http://schemas.openxmlformats.org/drawingml/2006/picture">
            <wp:extent cx="2700000" cy="12260769"/>
            <wp:docPr id="3" name="Picture 3"/>
            <wp:cNvGraphicFramePr>
              <a:graphicFrameLocks noChangeAspect="1"/>
            </wp:cNvGraphicFramePr>
            <a:graphic>
              <a:graphicData uri="http://schemas.openxmlformats.org/drawingml/2006/picture">
                <pic:pic>
                  <pic:nvPicPr>
                    <pic:cNvPr id="0" name="mobile-governance.png"/>
                    <pic:cNvPicPr/>
                  </pic:nvPicPr>
                  <pic:blipFill>
                    <a:blip r:embed="rId14"/>
                    <a:stretch>
                      <a:fillRect/>
                    </a:stretch>
                  </pic:blipFill>
                  <pic:spPr>
                    <a:xfrm>
                      <a:off x="0" y="0"/>
                      <a:ext cx="2700000" cy="12260769"/>
                    </a:xfrm>
                    <a:prstGeom prst="rect"/>
                  </pic:spPr>
                </pic:pic>
              </a:graphicData>
            </a:graphic>
          </wp:inline>
        </w:drawing>
      </w:r>
    </w:p>
    <w:p>
      <w:pPr>
        <w:jc w:val="center"/>
      </w:pPr>
      <w:r>
        <w:rPr>
          <w:rFonts w:ascii="宋体" w:hAnsi="宋体" w:eastAsia="宋体"/>
          <w:b w:val="0"/>
          <w:sz w:val="18"/>
        </w:rPr>
        <w:t>图3 移动端治理流程页面</w:t>
      </w:r>
    </w:p>
    <w:p>
      <w:pPr>
        <w:spacing w:line="300" w:lineRule="auto" w:after="80"/>
      </w:pPr>
      <w:r>
        <w:rPr>
          <w:rFonts w:ascii="黑体" w:hAnsi="黑体" w:eastAsia="黑体"/>
          <w:b/>
          <w:sz w:val="24"/>
        </w:rPr>
        <w:t>五、系统使用说明与典型场景</w:t>
      </w:r>
    </w:p>
    <w:p>
      <w:pPr>
        <w:spacing w:line="300" w:lineRule="auto" w:after="40"/>
        <w:ind w:firstLine="420"/>
      </w:pPr>
      <w:r>
        <w:rPr>
          <w:rFonts w:ascii="宋体" w:hAnsi="宋体" w:eastAsia="宋体"/>
          <w:b w:val="0"/>
          <w:sz w:val="21"/>
        </w:rPr>
        <w:t>使用者打开 trusted_ai_governance/frontend/index.html 后, 可依次查看总览、风险计算、黑盒治理、安全影响和治理流程。典型高风险测试场景为: 选择 CH13 红外窗口通道, 将目标区最低亮温设为 180 K, 空间结构选择云边界或快速发展, 使用场景选择预警研判。系统会给出极高风险提示, 并建议人工复核、多源资料核验和禁止自动预警。系统输出属于建议性治理动作, 不能替代预报员判断或业务规范。如果用户勾选训练分布外或数据质量异常, 风险分数会进一步提高, 这体现了对数据质量和适用范围的约束。教师或受访者可以通过该场景检验系统是否真正传达了黑盒模型的使用边界。</w:t>
      </w:r>
    </w:p>
    <w:p>
      <w:pPr>
        <w:spacing w:line="300" w:lineRule="auto" w:after="80"/>
      </w:pPr>
      <w:r>
        <w:rPr>
          <w:rFonts w:ascii="黑体" w:hAnsi="黑体" w:eastAsia="黑体"/>
          <w:b/>
          <w:sz w:val="24"/>
        </w:rPr>
        <w:t>六、用户反馈与结果分析</w:t>
      </w:r>
    </w:p>
    <w:p>
      <w:pPr>
        <w:spacing w:line="300" w:lineRule="auto" w:after="40"/>
        <w:ind w:firstLine="420"/>
      </w:pPr>
      <w:r>
        <w:rPr>
          <w:rFonts w:ascii="宋体" w:hAnsi="宋体" w:eastAsia="宋体"/>
          <w:b w:val="0"/>
          <w:sz w:val="21"/>
        </w:rPr>
        <w:t>本项目收集了 7 份用户问卷。问卷包含 16 个 1-5 分量表题和 2 个开放题, 分为算法透明性、风险识别与安全意识、人工监督与责任边界、信任校准与使用意愿四个维度。描述性统计显示, 四个维度均值分别为 4.29、3.96、4.39 和 4.25, 初步表明受访者对人工复核、风险提示和责任边界设计持较积极态度。但样本量较小, 且人工监督与责任边界维度的 Cronbach alpha 为 0.26, 信任校准与使用意愿为 0.48, 说明部分维度内部一致性不足。因此, 问卷结果只能作为原型系统改进的探索性反馈, 不能作为系统有效性的严格验证。</w:t>
      </w:r>
    </w:p>
    <w:p>
      <w:pPr>
        <w:jc w:val="center"/>
      </w:pPr>
      <w:r>
        <w:rPr>
          <w:rFonts w:ascii="宋体" w:hAnsi="宋体" w:eastAsia="宋体"/>
          <w:b/>
          <w:sz w:val="21"/>
        </w:rPr>
        <w:t>表4 问卷维度统计</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68"/>
        <w:gridCol w:w="2268"/>
        <w:gridCol w:w="2268"/>
        <w:gridCol w:w="2268"/>
      </w:tblGrid>
      <w:tr>
        <w:tc>
          <w:tcPr>
            <w:tcW w:type="dxa" w:w="2268"/>
            <w:vAlign w:val="center"/>
            <w:shd w:fill="EAF0F5"/>
          </w:tcPr>
          <w:p>
            <w:pPr>
              <w:jc w:val="left"/>
            </w:pPr>
            <w:r/>
            <w:r>
              <w:rPr>
                <w:rFonts w:ascii="宋体" w:hAnsi="宋体" w:eastAsia="宋体"/>
                <w:b/>
                <w:sz w:val="18"/>
              </w:rPr>
              <w:t>维度</w:t>
            </w:r>
          </w:p>
        </w:tc>
        <w:tc>
          <w:tcPr>
            <w:tcW w:type="dxa" w:w="1020"/>
            <w:vAlign w:val="center"/>
            <w:shd w:fill="EAF0F5"/>
          </w:tcPr>
          <w:p>
            <w:pPr>
              <w:jc w:val="left"/>
            </w:pPr>
            <w:r/>
            <w:r>
              <w:rPr>
                <w:rFonts w:ascii="宋体" w:hAnsi="宋体" w:eastAsia="宋体"/>
                <w:b/>
                <w:sz w:val="18"/>
              </w:rPr>
              <w:t>均值</w:t>
            </w:r>
          </w:p>
        </w:tc>
        <w:tc>
          <w:tcPr>
            <w:tcW w:type="dxa" w:w="1247"/>
            <w:vAlign w:val="center"/>
            <w:shd w:fill="EAF0F5"/>
          </w:tcPr>
          <w:p>
            <w:pPr>
              <w:jc w:val="left"/>
            </w:pPr>
            <w:r/>
            <w:r>
              <w:rPr>
                <w:rFonts w:ascii="宋体" w:hAnsi="宋体" w:eastAsia="宋体"/>
                <w:b/>
                <w:sz w:val="18"/>
              </w:rPr>
              <w:t>积极比例</w:t>
            </w:r>
          </w:p>
        </w:tc>
        <w:tc>
          <w:tcPr>
            <w:tcW w:type="dxa" w:w="3288"/>
            <w:vAlign w:val="center"/>
            <w:shd w:fill="EAF0F5"/>
          </w:tcPr>
          <w:p>
            <w:pPr>
              <w:jc w:val="left"/>
            </w:pPr>
            <w:r/>
            <w:r>
              <w:rPr>
                <w:rFonts w:ascii="宋体" w:hAnsi="宋体" w:eastAsia="宋体"/>
                <w:b/>
                <w:sz w:val="18"/>
              </w:rPr>
              <w:t>说明</w:t>
            </w:r>
          </w:p>
        </w:tc>
      </w:tr>
      <w:tr>
        <w:tc>
          <w:tcPr>
            <w:tcW w:type="dxa" w:w="2268"/>
            <w:vAlign w:val="center"/>
          </w:tcPr>
          <w:p>
            <w:pPr>
              <w:jc w:val="left"/>
            </w:pPr>
            <w:r/>
            <w:r>
              <w:rPr>
                <w:rFonts w:ascii="宋体" w:hAnsi="宋体" w:eastAsia="宋体"/>
                <w:b w:val="0"/>
                <w:sz w:val="18"/>
              </w:rPr>
              <w:t>算法透明性</w:t>
            </w:r>
          </w:p>
        </w:tc>
        <w:tc>
          <w:tcPr>
            <w:tcW w:type="dxa" w:w="1020"/>
            <w:vAlign w:val="center"/>
          </w:tcPr>
          <w:p>
            <w:pPr>
              <w:jc w:val="left"/>
            </w:pPr>
            <w:r/>
            <w:r>
              <w:rPr>
                <w:rFonts w:ascii="宋体" w:hAnsi="宋体" w:eastAsia="宋体"/>
                <w:b w:val="0"/>
                <w:sz w:val="18"/>
              </w:rPr>
              <w:t>4.29</w:t>
            </w:r>
          </w:p>
        </w:tc>
        <w:tc>
          <w:tcPr>
            <w:tcW w:type="dxa" w:w="1247"/>
            <w:vAlign w:val="center"/>
          </w:tcPr>
          <w:p>
            <w:pPr>
              <w:jc w:val="left"/>
            </w:pPr>
            <w:r/>
            <w:r>
              <w:rPr>
                <w:rFonts w:ascii="宋体" w:hAnsi="宋体" w:eastAsia="宋体"/>
                <w:b w:val="0"/>
                <w:sz w:val="18"/>
              </w:rPr>
              <w:t>85.7%</w:t>
            </w:r>
          </w:p>
        </w:tc>
        <w:tc>
          <w:tcPr>
            <w:tcW w:type="dxa" w:w="3288"/>
            <w:vAlign w:val="center"/>
          </w:tcPr>
          <w:p>
            <w:pPr>
              <w:jc w:val="left"/>
            </w:pPr>
            <w:r/>
            <w:r>
              <w:rPr>
                <w:rFonts w:ascii="宋体" w:hAnsi="宋体" w:eastAsia="宋体"/>
                <w:b w:val="0"/>
                <w:sz w:val="18"/>
              </w:rPr>
              <w:t>用户总体认可信息披露和黑盒解释</w:t>
            </w:r>
          </w:p>
        </w:tc>
      </w:tr>
      <w:tr>
        <w:tc>
          <w:tcPr>
            <w:tcW w:type="dxa" w:w="2268"/>
            <w:vAlign w:val="center"/>
          </w:tcPr>
          <w:p>
            <w:pPr>
              <w:jc w:val="left"/>
            </w:pPr>
            <w:r/>
            <w:r>
              <w:rPr>
                <w:rFonts w:ascii="宋体" w:hAnsi="宋体" w:eastAsia="宋体"/>
                <w:b w:val="0"/>
                <w:sz w:val="18"/>
              </w:rPr>
              <w:t>风险识别与安全意识</w:t>
            </w:r>
          </w:p>
        </w:tc>
        <w:tc>
          <w:tcPr>
            <w:tcW w:type="dxa" w:w="1020"/>
            <w:vAlign w:val="center"/>
          </w:tcPr>
          <w:p>
            <w:pPr>
              <w:jc w:val="left"/>
            </w:pPr>
            <w:r/>
            <w:r>
              <w:rPr>
                <w:rFonts w:ascii="宋体" w:hAnsi="宋体" w:eastAsia="宋体"/>
                <w:b w:val="0"/>
                <w:sz w:val="18"/>
              </w:rPr>
              <w:t>3.96</w:t>
            </w:r>
          </w:p>
        </w:tc>
        <w:tc>
          <w:tcPr>
            <w:tcW w:type="dxa" w:w="1247"/>
            <w:vAlign w:val="center"/>
          </w:tcPr>
          <w:p>
            <w:pPr>
              <w:jc w:val="left"/>
            </w:pPr>
            <w:r/>
            <w:r>
              <w:rPr>
                <w:rFonts w:ascii="宋体" w:hAnsi="宋体" w:eastAsia="宋体"/>
                <w:b w:val="0"/>
                <w:sz w:val="18"/>
              </w:rPr>
              <w:t>85.7%</w:t>
            </w:r>
          </w:p>
        </w:tc>
        <w:tc>
          <w:tcPr>
            <w:tcW w:type="dxa" w:w="3288"/>
            <w:vAlign w:val="center"/>
          </w:tcPr>
          <w:p>
            <w:pPr>
              <w:jc w:val="left"/>
            </w:pPr>
            <w:r/>
            <w:r>
              <w:rPr>
                <w:rFonts w:ascii="宋体" w:hAnsi="宋体" w:eastAsia="宋体"/>
                <w:b w:val="0"/>
                <w:sz w:val="18"/>
              </w:rPr>
              <w:t>安全风险理解仍需更直观案例</w:t>
            </w:r>
          </w:p>
        </w:tc>
      </w:tr>
      <w:tr>
        <w:tc>
          <w:tcPr>
            <w:tcW w:type="dxa" w:w="2268"/>
            <w:vAlign w:val="center"/>
          </w:tcPr>
          <w:p>
            <w:pPr>
              <w:jc w:val="left"/>
            </w:pPr>
            <w:r/>
            <w:r>
              <w:rPr>
                <w:rFonts w:ascii="宋体" w:hAnsi="宋体" w:eastAsia="宋体"/>
                <w:b w:val="0"/>
                <w:sz w:val="18"/>
              </w:rPr>
              <w:t>人工监督与责任边界</w:t>
            </w:r>
          </w:p>
        </w:tc>
        <w:tc>
          <w:tcPr>
            <w:tcW w:type="dxa" w:w="1020"/>
            <w:vAlign w:val="center"/>
          </w:tcPr>
          <w:p>
            <w:pPr>
              <w:jc w:val="left"/>
            </w:pPr>
            <w:r/>
            <w:r>
              <w:rPr>
                <w:rFonts w:ascii="宋体" w:hAnsi="宋体" w:eastAsia="宋体"/>
                <w:b w:val="0"/>
                <w:sz w:val="18"/>
              </w:rPr>
              <w:t>4.39</w:t>
            </w:r>
          </w:p>
        </w:tc>
        <w:tc>
          <w:tcPr>
            <w:tcW w:type="dxa" w:w="1247"/>
            <w:vAlign w:val="center"/>
          </w:tcPr>
          <w:p>
            <w:pPr>
              <w:jc w:val="left"/>
            </w:pPr>
            <w:r/>
            <w:r>
              <w:rPr>
                <w:rFonts w:ascii="宋体" w:hAnsi="宋体" w:eastAsia="宋体"/>
                <w:b w:val="0"/>
                <w:sz w:val="18"/>
              </w:rPr>
              <w:t>85.7%</w:t>
            </w:r>
          </w:p>
        </w:tc>
        <w:tc>
          <w:tcPr>
            <w:tcW w:type="dxa" w:w="3288"/>
            <w:vAlign w:val="center"/>
          </w:tcPr>
          <w:p>
            <w:pPr>
              <w:jc w:val="left"/>
            </w:pPr>
            <w:r/>
            <w:r>
              <w:rPr>
                <w:rFonts w:ascii="宋体" w:hAnsi="宋体" w:eastAsia="宋体"/>
                <w:b w:val="0"/>
                <w:sz w:val="18"/>
              </w:rPr>
              <w:t>均值较高, 但内部一致性不足</w:t>
            </w:r>
          </w:p>
        </w:tc>
      </w:tr>
      <w:tr>
        <w:tc>
          <w:tcPr>
            <w:tcW w:type="dxa" w:w="2268"/>
            <w:vAlign w:val="center"/>
          </w:tcPr>
          <w:p>
            <w:pPr>
              <w:jc w:val="left"/>
            </w:pPr>
            <w:r/>
            <w:r>
              <w:rPr>
                <w:rFonts w:ascii="宋体" w:hAnsi="宋体" w:eastAsia="宋体"/>
                <w:b w:val="0"/>
                <w:sz w:val="18"/>
              </w:rPr>
              <w:t>信任校准与使用意愿</w:t>
            </w:r>
          </w:p>
        </w:tc>
        <w:tc>
          <w:tcPr>
            <w:tcW w:type="dxa" w:w="1020"/>
            <w:vAlign w:val="center"/>
          </w:tcPr>
          <w:p>
            <w:pPr>
              <w:jc w:val="left"/>
            </w:pPr>
            <w:r/>
            <w:r>
              <w:rPr>
                <w:rFonts w:ascii="宋体" w:hAnsi="宋体" w:eastAsia="宋体"/>
                <w:b w:val="0"/>
                <w:sz w:val="18"/>
              </w:rPr>
              <w:t>4.25</w:t>
            </w:r>
          </w:p>
        </w:tc>
        <w:tc>
          <w:tcPr>
            <w:tcW w:type="dxa" w:w="1247"/>
            <w:vAlign w:val="center"/>
          </w:tcPr>
          <w:p>
            <w:pPr>
              <w:jc w:val="left"/>
            </w:pPr>
            <w:r/>
            <w:r>
              <w:rPr>
                <w:rFonts w:ascii="宋体" w:hAnsi="宋体" w:eastAsia="宋体"/>
                <w:b w:val="0"/>
                <w:sz w:val="18"/>
              </w:rPr>
              <w:t>71.4%</w:t>
            </w:r>
          </w:p>
        </w:tc>
        <w:tc>
          <w:tcPr>
            <w:tcW w:type="dxa" w:w="3288"/>
            <w:vAlign w:val="center"/>
          </w:tcPr>
          <w:p>
            <w:pPr>
              <w:jc w:val="left"/>
            </w:pPr>
            <w:r/>
            <w:r>
              <w:rPr>
                <w:rFonts w:ascii="宋体" w:hAnsi="宋体" w:eastAsia="宋体"/>
                <w:b w:val="0"/>
                <w:sz w:val="18"/>
              </w:rPr>
              <w:t>使用意愿较积极, 仍需扩大样本验证</w:t>
            </w:r>
          </w:p>
        </w:tc>
      </w:tr>
    </w:tbl>
    <w:p/>
    <w:p>
      <w:pPr>
        <w:spacing w:line="300" w:lineRule="auto" w:after="40"/>
        <w:ind w:firstLine="420"/>
      </w:pPr>
      <w:r>
        <w:rPr>
          <w:rFonts w:ascii="宋体" w:hAnsi="宋体" w:eastAsia="宋体"/>
          <w:b w:val="0"/>
          <w:sz w:val="21"/>
        </w:rPr>
        <w:t>开放题中, 有效建议主要集中在可解释性与透明度、人工监督与责任流程、多源数据交叉验证、阈值与风险分级等方面。少量低信息或无关反馈未被直接作为功能需求, 但提示后续问卷说明需要更清晰。</w:t>
      </w:r>
    </w:p>
    <w:p>
      <w:pPr>
        <w:spacing w:line="300" w:lineRule="auto" w:after="80"/>
      </w:pPr>
      <w:r>
        <w:rPr>
          <w:rFonts w:ascii="黑体" w:hAnsi="黑体" w:eastAsia="黑体"/>
          <w:b/>
          <w:sz w:val="24"/>
        </w:rPr>
        <w:t>七、讨论、局限与改进方向</w:t>
      </w:r>
    </w:p>
    <w:p>
      <w:pPr>
        <w:spacing w:line="300" w:lineRule="auto" w:after="40"/>
        <w:ind w:firstLine="420"/>
      </w:pPr>
      <w:r>
        <w:rPr>
          <w:rFonts w:ascii="宋体" w:hAnsi="宋体" w:eastAsia="宋体"/>
          <w:b w:val="0"/>
          <w:sz w:val="21"/>
        </w:rPr>
        <w:t>本项目的价值在于把模型使用环节中的伦理治理具体化, 使模型结果不再以孤立预测图形式出现, 而是与风险因素、复核要求和责任记录相连。其局限也很明显: 风险阈值和权重尚未经过大样本验证; 前端仍是静态原型, 未接入实时卫星、雷达和地面观测; 问卷样本只有 7 份, 不能代表气象业务人员; 系统当前主要依赖外部透明性和规则解释, 尚未引入更深入的可解释性算法。后续应扩展数据集, 引入多源观测, 验证风险阈值, 并邀请气象业务人员参与评估。</w:t>
      </w:r>
    </w:p>
    <w:p>
      <w:pPr>
        <w:spacing w:line="300" w:lineRule="auto" w:after="80"/>
      </w:pPr>
      <w:r>
        <w:rPr>
          <w:rFonts w:ascii="黑体" w:hAnsi="黑体" w:eastAsia="黑体"/>
          <w:b/>
          <w:sz w:val="24"/>
        </w:rPr>
        <w:t>八、结论</w:t>
      </w:r>
    </w:p>
    <w:p>
      <w:pPr>
        <w:spacing w:line="300" w:lineRule="auto" w:after="40"/>
        <w:ind w:firstLine="420"/>
      </w:pPr>
      <w:r>
        <w:rPr>
          <w:rFonts w:ascii="宋体" w:hAnsi="宋体" w:eastAsia="宋体"/>
          <w:b w:val="0"/>
          <w:sz w:val="21"/>
        </w:rPr>
        <w:t>本项目严格按照第三个选题中“有系统实现”的要求, 提交系统实现和相关文档。项目以 FY-4B/AGRI 亮温预测模型为基础, 完成了项目背景、系统需求设计、详细设计、系统使用说明和初步用户反馈分析。相较单纯展示模型精度, 可信AI治理原型更强调黑盒效应、公共安全后果、人工复核和责任边界。问卷结果为系统改进提供了探索性依据, 但不构成严格有效性证明。总体而言, 本项目为气象AI模型从技术实验走向负责任辅助使用提供了一个可复现的初步方案。</w:t>
      </w:r>
    </w:p>
    <w:p>
      <w:pPr>
        <w:spacing w:line="300" w:lineRule="auto" w:after="80"/>
      </w:pPr>
      <w:r>
        <w:rPr>
          <w:rFonts w:ascii="黑体" w:hAnsi="黑体" w:eastAsia="黑体"/>
          <w:b/>
          <w:sz w:val="24"/>
        </w:rPr>
        <w:t>参考文献</w:t>
      </w:r>
    </w:p>
    <w:p>
      <w:pPr>
        <w:spacing w:line="300" w:lineRule="auto" w:after="40"/>
      </w:pPr>
      <w:r>
        <w:rPr>
          <w:rFonts w:ascii="宋体" w:hAnsi="宋体" w:eastAsia="宋体"/>
          <w:b w:val="0"/>
          <w:sz w:val="18"/>
        </w:rPr>
        <w:t>〔1〕国家互联网信息办公室等. 生成式人工智能服务管理暂行办法[EB/OL]. [2026-06-16]. https://www.gov.cn/zhengce/zhengceku/202307/content_6891752.htm.</w:t>
      </w:r>
    </w:p>
    <w:p>
      <w:pPr>
        <w:spacing w:line="300" w:lineRule="auto" w:after="40"/>
      </w:pPr>
      <w:r>
        <w:rPr>
          <w:rFonts w:ascii="宋体" w:hAnsi="宋体" w:eastAsia="宋体"/>
          <w:b w:val="0"/>
          <w:sz w:val="18"/>
        </w:rPr>
        <w:t>〔2〕European Union. Regulation (EU) 2024/1689 laying down harmonised rules on artificial intelligence[EB/OL]. [2026-06-16]. https://eur-lex.europa.eu/eli/reg/2024/1689/oj/eng.</w:t>
      </w:r>
    </w:p>
    <w:p>
      <w:pPr>
        <w:spacing w:line="300" w:lineRule="auto" w:after="40"/>
      </w:pPr>
      <w:r>
        <w:rPr>
          <w:rFonts w:ascii="宋体" w:hAnsi="宋体" w:eastAsia="宋体"/>
          <w:b w:val="0"/>
          <w:sz w:val="18"/>
        </w:rPr>
        <w:t>〔3〕National Institute of Standards and Technology. Artificial Intelligence Risk Management Framework (AI RMF 1.0)[EB/OL]. [2026-06-16]. https://www.nist.gov/itl/ai-risk-management-framework.</w:t>
      </w:r>
    </w:p>
    <w:p>
      <w:pPr>
        <w:spacing w:line="300" w:lineRule="auto" w:after="40"/>
      </w:pPr>
      <w:r>
        <w:rPr>
          <w:rFonts w:ascii="宋体" w:hAnsi="宋体" w:eastAsia="宋体"/>
          <w:b w:val="0"/>
          <w:sz w:val="18"/>
        </w:rPr>
        <w:t>〔4〕UNESCO. Recommendation on the Ethics of Artificial Intelligence[EB/OL]. [2026-06-16]. https://www.unesco.org/en/artificial-intelligence/recommendation-ethics.</w:t>
      </w:r>
    </w:p>
    <w:p>
      <w:pPr>
        <w:spacing w:line="300" w:lineRule="auto" w:after="40"/>
      </w:pPr>
      <w:r>
        <w:rPr>
          <w:rFonts w:ascii="宋体" w:hAnsi="宋体" w:eastAsia="宋体"/>
          <w:b w:val="0"/>
          <w:sz w:val="18"/>
        </w:rPr>
        <w:t>〔5〕风云卫星遥感数据服务网. FY-4B/AGRI L1 级遥感数据产品[EB/OL]. [2026-06-16]. https://satellite.nsmc.org.cn.</w:t>
      </w:r>
    </w:p>
    <w:p>
      <w:pPr>
        <w:spacing w:line="300" w:lineRule="auto" w:after="40"/>
        <w:jc w:val="center"/>
      </w:pPr>
      <w:r>
        <w:rPr>
          <w:rFonts w:ascii="Times New Roman" w:hAnsi="Times New Roman" w:eastAsia="宋体"/>
          <w:b w:val="0"/>
          <w:sz w:val="28"/>
        </w:rPr>
        <w:t>Trustworthy AI Governance Prototype for FY-4B/AGRI Brightness Temperature Prediction</w:t>
      </w:r>
    </w:p>
    <w:p>
      <w:pPr>
        <w:spacing w:line="300" w:lineRule="auto" w:after="40"/>
        <w:jc w:val="center"/>
      </w:pPr>
      <w:r>
        <w:rPr>
          <w:rFonts w:ascii="Times New Roman" w:hAnsi="Times New Roman" w:eastAsia="宋体"/>
          <w:b w:val="0"/>
          <w:sz w:val="24"/>
        </w:rPr>
        <w:t>ZHUANG Han</w:t>
      </w:r>
    </w:p>
    <w:p>
      <w:pPr>
        <w:spacing w:line="300" w:lineRule="auto" w:after="40"/>
      </w:pPr>
      <w:r>
        <w:rPr>
          <w:rFonts w:ascii="Times New Roman" w:hAnsi="Times New Roman" w:eastAsia="宋体"/>
          <w:b w:val="0"/>
          <w:sz w:val="21"/>
        </w:rPr>
        <w:t>Abstract: This project designs and implements a governance prototype for a FY-4B/AGRI brightness temperature prediction model. It focuses on transparency, risk classification, human review and accountability in high-risk meteorological AI use.</w:t>
      </w:r>
    </w:p>
    <w:p>
      <w:pPr>
        <w:spacing w:line="300" w:lineRule="auto" w:after="40"/>
      </w:pPr>
      <w:r>
        <w:rPr>
          <w:rFonts w:ascii="Times New Roman" w:hAnsi="Times New Roman" w:eastAsia="宋体"/>
          <w:b w:val="0"/>
          <w:sz w:val="21"/>
        </w:rPr>
        <w:t>Key words: trustworthy AI; meteorological AI; black-box effect; human review; risk governance</w:t>
      </w:r>
    </w:p>
    <w:sectPr w:rsidR="000927F8" w:rsidRPr="00CF5829">
      <w:footerReference w:type="even" r:id="rId8"/>
      <w:footerReference w:type="default" r:id="rId9"/>
      <w:footnotePr>
        <w:numFmt w:val="decimalEnclosedCircleChinese"/>
        <w:numRestart w:val="eachPage"/>
      </w:footnotePr>
      <w:pgSz w:w="11906" w:h="16838"/>
      <w:pgMar w:top="1361" w:right="1361" w:bottom="1247" w:left="1474"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250A" w:rsidRDefault="001B250A">
      <w:r>
        <w:separator/>
      </w:r>
    </w:p>
  </w:endnote>
  <w:endnote w:type="continuationSeparator" w:id="0">
    <w:p w:rsidR="001B250A" w:rsidRDefault="001B2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27F8" w:rsidRDefault="004814DF">
    <w:pPr>
      <w:pStyle w:val="a4"/>
      <w:framePr w:wrap="around" w:vAnchor="text" w:hAnchor="margin" w:xAlign="center" w:y="1"/>
      <w:rPr>
        <w:rStyle w:val="a8"/>
      </w:rPr>
    </w:pPr>
    <w:r>
      <w:fldChar w:fldCharType="begin"/>
    </w:r>
    <w:r>
      <w:rPr>
        <w:rStyle w:val="a8"/>
      </w:rPr>
      <w:instrText xml:space="preserve">PAGE  </w:instrText>
    </w:r>
    <w:r>
      <w:fldChar w:fldCharType="end"/>
    </w:r>
  </w:p>
  <w:p w:rsidR="000927F8" w:rsidRDefault="000927F8">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27F8" w:rsidRDefault="004814DF">
    <w:pPr>
      <w:pStyle w:val="a4"/>
      <w:framePr w:wrap="around" w:vAnchor="text" w:hAnchor="margin" w:xAlign="center" w:y="1"/>
      <w:rPr>
        <w:rStyle w:val="a8"/>
      </w:rPr>
    </w:pPr>
    <w:r>
      <w:fldChar w:fldCharType="begin"/>
    </w:r>
    <w:r>
      <w:rPr>
        <w:rStyle w:val="a8"/>
      </w:rPr>
      <w:instrText xml:space="preserve">PAGE  </w:instrText>
    </w:r>
    <w:r>
      <w:fldChar w:fldCharType="separate"/>
    </w:r>
    <w:r w:rsidR="00006D36">
      <w:rPr>
        <w:rStyle w:val="a8"/>
        <w:noProof/>
      </w:rPr>
      <w:t>1</w:t>
    </w:r>
    <w:r>
      <w:fldChar w:fldCharType="end"/>
    </w:r>
  </w:p>
  <w:p w:rsidR="000927F8" w:rsidRDefault="000927F8">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250A" w:rsidRDefault="001B250A">
      <w:r>
        <w:separator/>
      </w:r>
    </w:p>
  </w:footnote>
  <w:footnote w:type="continuationSeparator" w:id="0">
    <w:p w:rsidR="001B250A" w:rsidRDefault="001B250A">
      <w:r>
        <w:continuationSeparator/>
      </w:r>
    </w:p>
  </w:footnote>
  <w:footnote w:id="1">
    <w:p w:rsidR="000927F8" w:rsidRDefault="004814DF">
      <w:pPr>
        <w:widowControl/>
        <w:ind w:left="896" w:hangingChars="498" w:hanging="896"/>
        <w:rPr>
          <w:rFonts w:ascii="宋体" w:hAnsi="宋体"/>
          <w:bCs/>
          <w:kern w:val="0"/>
          <w:sz w:val="18"/>
          <w:szCs w:val="18"/>
        </w:rPr>
      </w:pPr>
      <w:r>
        <w:rPr>
          <w:rFonts w:ascii="黑体" w:eastAsia="黑体" w:hAnsi="黑体" w:hint="eastAsia"/>
          <w:bCs/>
          <w:kern w:val="0"/>
          <w:sz w:val="18"/>
          <w:szCs w:val="18"/>
        </w:rPr>
        <w:t>收稿日期：</w:t>
      </w:r>
      <w:r>
        <w:rPr>
          <w:rFonts w:ascii="宋体" w:hAnsi="宋体" w:hint="eastAsia"/>
          <w:bCs/>
          <w:kern w:val="0"/>
          <w:sz w:val="18"/>
          <w:szCs w:val="18"/>
        </w:rPr>
        <w:t>由本刊负责填写。</w:t>
      </w:r>
    </w:p>
    <w:p w:rsidR="000927F8" w:rsidRDefault="004814DF">
      <w:pPr>
        <w:widowControl/>
        <w:ind w:left="896" w:hangingChars="498" w:hanging="896"/>
        <w:rPr>
          <w:rFonts w:ascii="宋体" w:hAnsi="宋体"/>
          <w:sz w:val="18"/>
          <w:szCs w:val="18"/>
        </w:rPr>
      </w:pPr>
      <w:r>
        <w:rPr>
          <w:rFonts w:ascii="黑体" w:eastAsia="黑体" w:hAnsi="黑体" w:hint="eastAsia"/>
          <w:bCs/>
          <w:kern w:val="0"/>
          <w:sz w:val="18"/>
          <w:szCs w:val="18"/>
        </w:rPr>
        <w:t>基金项目：</w:t>
      </w:r>
      <w:r>
        <w:rPr>
          <w:rFonts w:hint="eastAsia"/>
          <w:color w:val="FF0000"/>
          <w:sz w:val="18"/>
          <w:szCs w:val="18"/>
        </w:rPr>
        <w:t>有基金项目者请注明，并在圆括号内注明项目编号，多项基金项目应依次列出，其间以分号隔开，所列项目总数不得超过三个</w:t>
      </w:r>
      <w:bookmarkStart w:id="0" w:name="_GoBack"/>
      <w:bookmarkEnd w:id="0"/>
      <w:r>
        <w:rPr>
          <w:rFonts w:hint="eastAsia"/>
          <w:color w:val="FF0000"/>
          <w:sz w:val="18"/>
          <w:szCs w:val="18"/>
        </w:rPr>
        <w:t>。</w:t>
      </w:r>
      <w:r>
        <w:rPr>
          <w:rFonts w:ascii="宋体" w:hAnsi="宋体" w:hint="eastAsia"/>
          <w:sz w:val="18"/>
          <w:szCs w:val="18"/>
        </w:rPr>
        <w:t xml:space="preserve"> </w:t>
      </w:r>
    </w:p>
    <w:p w:rsidR="000927F8" w:rsidRDefault="004814DF">
      <w:pPr>
        <w:pStyle w:val="a7"/>
        <w:shd w:val="clear" w:color="auto" w:fill="FFFFFF"/>
        <w:spacing w:before="0" w:beforeAutospacing="0" w:after="0" w:afterAutospacing="0" w:line="240" w:lineRule="auto"/>
        <w:rPr>
          <w:rFonts w:ascii="Verdana" w:hAnsi="Verdana"/>
          <w:color w:val="000000"/>
          <w:sz w:val="18"/>
          <w:szCs w:val="18"/>
        </w:rPr>
      </w:pPr>
      <w:r>
        <w:rPr>
          <w:rFonts w:ascii="黑体" w:eastAsia="黑体" w:hAnsi="黑体" w:hint="eastAsia"/>
          <w:bCs/>
          <w:sz w:val="18"/>
          <w:szCs w:val="18"/>
        </w:rPr>
        <w:t>作者简介：</w:t>
      </w:r>
      <w:r>
        <w:rPr>
          <w:color w:val="000000"/>
          <w:sz w:val="18"/>
          <w:szCs w:val="18"/>
        </w:rPr>
        <w:t>姓名</w:t>
      </w:r>
      <w:r>
        <w:rPr>
          <w:rFonts w:hint="eastAsia"/>
          <w:color w:val="000000"/>
          <w:sz w:val="18"/>
          <w:szCs w:val="18"/>
        </w:rPr>
        <w:t>（19XX（</w:t>
      </w:r>
      <w:r>
        <w:rPr>
          <w:color w:val="000000"/>
          <w:sz w:val="18"/>
          <w:szCs w:val="18"/>
        </w:rPr>
        <w:t>出生年</w:t>
      </w:r>
      <w:r>
        <w:rPr>
          <w:rFonts w:hint="eastAsia"/>
          <w:color w:val="000000"/>
          <w:sz w:val="18"/>
          <w:szCs w:val="18"/>
        </w:rPr>
        <w:t>）-），</w:t>
      </w:r>
      <w:r>
        <w:rPr>
          <w:color w:val="000000"/>
          <w:sz w:val="18"/>
          <w:szCs w:val="18"/>
        </w:rPr>
        <w:t>性别（男性省略不写，女性需注明）、籍贯（省、市、县）、</w:t>
      </w:r>
      <w:r>
        <w:rPr>
          <w:rFonts w:hint="eastAsia"/>
          <w:color w:val="000000"/>
          <w:sz w:val="18"/>
          <w:szCs w:val="18"/>
        </w:rPr>
        <w:t>学科</w:t>
      </w:r>
      <w:r>
        <w:rPr>
          <w:color w:val="000000"/>
          <w:sz w:val="18"/>
          <w:szCs w:val="18"/>
        </w:rPr>
        <w:t>学位、</w:t>
      </w:r>
      <w:r>
        <w:rPr>
          <w:rFonts w:hint="eastAsia"/>
          <w:color w:val="000000"/>
          <w:sz w:val="18"/>
          <w:szCs w:val="18"/>
        </w:rPr>
        <w:t>工作单位及</w:t>
      </w:r>
      <w:r>
        <w:rPr>
          <w:color w:val="000000"/>
          <w:sz w:val="18"/>
          <w:szCs w:val="18"/>
        </w:rPr>
        <w:t>职称、主要研究方向。</w:t>
      </w:r>
      <w:r>
        <w:rPr>
          <w:rFonts w:hint="eastAsia"/>
          <w:color w:val="000000"/>
          <w:sz w:val="18"/>
          <w:szCs w:val="18"/>
        </w:rPr>
        <w:t>（请勿罗列除以上要求以外的内容。）</w:t>
      </w:r>
    </w:p>
    <w:p w:rsidR="000927F8" w:rsidRDefault="000927F8">
      <w:pPr>
        <w:widowControl/>
        <w:spacing w:line="280" w:lineRule="exact"/>
        <w:rPr>
          <w:rFonts w:ascii="宋体" w:hAnsi="宋体" w:cs="宋体"/>
          <w:kern w:val="0"/>
          <w:sz w:val="18"/>
          <w:szCs w:val="18"/>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3376"/>
    <w:rsid w:val="000044D1"/>
    <w:rsid w:val="0000688C"/>
    <w:rsid w:val="00006D36"/>
    <w:rsid w:val="00012075"/>
    <w:rsid w:val="00014DC9"/>
    <w:rsid w:val="000162E6"/>
    <w:rsid w:val="00022AA3"/>
    <w:rsid w:val="0002672F"/>
    <w:rsid w:val="000351C1"/>
    <w:rsid w:val="00045151"/>
    <w:rsid w:val="000525A3"/>
    <w:rsid w:val="00052C93"/>
    <w:rsid w:val="0005336A"/>
    <w:rsid w:val="00054C99"/>
    <w:rsid w:val="00074C3E"/>
    <w:rsid w:val="0008103A"/>
    <w:rsid w:val="00082634"/>
    <w:rsid w:val="00084F2E"/>
    <w:rsid w:val="00084F6D"/>
    <w:rsid w:val="00085DFE"/>
    <w:rsid w:val="0009125B"/>
    <w:rsid w:val="000927F8"/>
    <w:rsid w:val="000A389A"/>
    <w:rsid w:val="000C3CEC"/>
    <w:rsid w:val="000C6BA3"/>
    <w:rsid w:val="000C75A7"/>
    <w:rsid w:val="000D2465"/>
    <w:rsid w:val="000D3A20"/>
    <w:rsid w:val="000E1039"/>
    <w:rsid w:val="000E6C61"/>
    <w:rsid w:val="000F4215"/>
    <w:rsid w:val="000F5310"/>
    <w:rsid w:val="0010085D"/>
    <w:rsid w:val="001011ED"/>
    <w:rsid w:val="00102C7E"/>
    <w:rsid w:val="00104C52"/>
    <w:rsid w:val="00106A35"/>
    <w:rsid w:val="00130E27"/>
    <w:rsid w:val="0014483A"/>
    <w:rsid w:val="001467EA"/>
    <w:rsid w:val="001513DD"/>
    <w:rsid w:val="001521D0"/>
    <w:rsid w:val="00163AD9"/>
    <w:rsid w:val="00172A27"/>
    <w:rsid w:val="00174FD8"/>
    <w:rsid w:val="00180397"/>
    <w:rsid w:val="00190296"/>
    <w:rsid w:val="00194C4B"/>
    <w:rsid w:val="00194C57"/>
    <w:rsid w:val="00196926"/>
    <w:rsid w:val="001A0FD7"/>
    <w:rsid w:val="001A256B"/>
    <w:rsid w:val="001B250A"/>
    <w:rsid w:val="001C387C"/>
    <w:rsid w:val="001C39D7"/>
    <w:rsid w:val="001C78DE"/>
    <w:rsid w:val="001D0175"/>
    <w:rsid w:val="001D01C5"/>
    <w:rsid w:val="001E71BD"/>
    <w:rsid w:val="001F285E"/>
    <w:rsid w:val="001F40CB"/>
    <w:rsid w:val="001F448B"/>
    <w:rsid w:val="002026EE"/>
    <w:rsid w:val="00204663"/>
    <w:rsid w:val="00204B4B"/>
    <w:rsid w:val="002072FE"/>
    <w:rsid w:val="0021004A"/>
    <w:rsid w:val="002173CF"/>
    <w:rsid w:val="002203AD"/>
    <w:rsid w:val="00221966"/>
    <w:rsid w:val="00222C85"/>
    <w:rsid w:val="00225AC6"/>
    <w:rsid w:val="00226A85"/>
    <w:rsid w:val="002329D7"/>
    <w:rsid w:val="00257D46"/>
    <w:rsid w:val="00280FDB"/>
    <w:rsid w:val="00282254"/>
    <w:rsid w:val="00282724"/>
    <w:rsid w:val="00284047"/>
    <w:rsid w:val="00286BE1"/>
    <w:rsid w:val="00294CB4"/>
    <w:rsid w:val="00296E34"/>
    <w:rsid w:val="002A2493"/>
    <w:rsid w:val="002A707B"/>
    <w:rsid w:val="002B2D80"/>
    <w:rsid w:val="002B5661"/>
    <w:rsid w:val="002B72A7"/>
    <w:rsid w:val="002C151E"/>
    <w:rsid w:val="002C704F"/>
    <w:rsid w:val="002D3861"/>
    <w:rsid w:val="002D7165"/>
    <w:rsid w:val="002E270C"/>
    <w:rsid w:val="0030278D"/>
    <w:rsid w:val="00314B44"/>
    <w:rsid w:val="003243FE"/>
    <w:rsid w:val="00324D6B"/>
    <w:rsid w:val="00335F0F"/>
    <w:rsid w:val="0035072F"/>
    <w:rsid w:val="00356872"/>
    <w:rsid w:val="0035779F"/>
    <w:rsid w:val="0036537F"/>
    <w:rsid w:val="00372159"/>
    <w:rsid w:val="003765CA"/>
    <w:rsid w:val="00383DD9"/>
    <w:rsid w:val="003903AF"/>
    <w:rsid w:val="003908BF"/>
    <w:rsid w:val="00391A37"/>
    <w:rsid w:val="00395C53"/>
    <w:rsid w:val="003A1CEE"/>
    <w:rsid w:val="003A3547"/>
    <w:rsid w:val="003A422B"/>
    <w:rsid w:val="003A610D"/>
    <w:rsid w:val="003A6311"/>
    <w:rsid w:val="003B0F9D"/>
    <w:rsid w:val="003C3451"/>
    <w:rsid w:val="003D1418"/>
    <w:rsid w:val="003D3FE9"/>
    <w:rsid w:val="003E0EF5"/>
    <w:rsid w:val="00401D46"/>
    <w:rsid w:val="00412C9A"/>
    <w:rsid w:val="0041580C"/>
    <w:rsid w:val="00423A45"/>
    <w:rsid w:val="004277FF"/>
    <w:rsid w:val="004339EC"/>
    <w:rsid w:val="004471BB"/>
    <w:rsid w:val="0046516A"/>
    <w:rsid w:val="004712C7"/>
    <w:rsid w:val="0047192A"/>
    <w:rsid w:val="004808D0"/>
    <w:rsid w:val="004814DF"/>
    <w:rsid w:val="00492B40"/>
    <w:rsid w:val="004B7F5B"/>
    <w:rsid w:val="004D0FFE"/>
    <w:rsid w:val="004D1480"/>
    <w:rsid w:val="004D30B4"/>
    <w:rsid w:val="004D4980"/>
    <w:rsid w:val="004D5383"/>
    <w:rsid w:val="004E54C2"/>
    <w:rsid w:val="004E5717"/>
    <w:rsid w:val="004F1DB8"/>
    <w:rsid w:val="004F22CA"/>
    <w:rsid w:val="004F271E"/>
    <w:rsid w:val="004F7A59"/>
    <w:rsid w:val="0050363D"/>
    <w:rsid w:val="00515BEF"/>
    <w:rsid w:val="00517817"/>
    <w:rsid w:val="00535555"/>
    <w:rsid w:val="00544BDC"/>
    <w:rsid w:val="00544EE8"/>
    <w:rsid w:val="00556FEB"/>
    <w:rsid w:val="00562321"/>
    <w:rsid w:val="00587C5B"/>
    <w:rsid w:val="00591B25"/>
    <w:rsid w:val="00593ABA"/>
    <w:rsid w:val="005A1B66"/>
    <w:rsid w:val="005A3F08"/>
    <w:rsid w:val="005B6196"/>
    <w:rsid w:val="005C452A"/>
    <w:rsid w:val="005C6F9C"/>
    <w:rsid w:val="005E534A"/>
    <w:rsid w:val="005E56EE"/>
    <w:rsid w:val="005F3377"/>
    <w:rsid w:val="00600AD6"/>
    <w:rsid w:val="00602C8B"/>
    <w:rsid w:val="0060588A"/>
    <w:rsid w:val="00625B5D"/>
    <w:rsid w:val="00627094"/>
    <w:rsid w:val="00635D3B"/>
    <w:rsid w:val="00673DCE"/>
    <w:rsid w:val="00682827"/>
    <w:rsid w:val="00691F94"/>
    <w:rsid w:val="00693092"/>
    <w:rsid w:val="006936AA"/>
    <w:rsid w:val="00693952"/>
    <w:rsid w:val="006A392E"/>
    <w:rsid w:val="006C24DF"/>
    <w:rsid w:val="006C473F"/>
    <w:rsid w:val="006E076E"/>
    <w:rsid w:val="006E3A5E"/>
    <w:rsid w:val="006F112E"/>
    <w:rsid w:val="006F1541"/>
    <w:rsid w:val="006F439F"/>
    <w:rsid w:val="00710A6B"/>
    <w:rsid w:val="007203BA"/>
    <w:rsid w:val="00734333"/>
    <w:rsid w:val="0074037E"/>
    <w:rsid w:val="0074064C"/>
    <w:rsid w:val="00742F7B"/>
    <w:rsid w:val="007442B2"/>
    <w:rsid w:val="0074579F"/>
    <w:rsid w:val="007460D5"/>
    <w:rsid w:val="007524C0"/>
    <w:rsid w:val="00775BE4"/>
    <w:rsid w:val="00776624"/>
    <w:rsid w:val="00777888"/>
    <w:rsid w:val="00780707"/>
    <w:rsid w:val="007817BD"/>
    <w:rsid w:val="00782D55"/>
    <w:rsid w:val="0079542D"/>
    <w:rsid w:val="007954DC"/>
    <w:rsid w:val="007A0865"/>
    <w:rsid w:val="007A4F22"/>
    <w:rsid w:val="007B1CE8"/>
    <w:rsid w:val="007B34A0"/>
    <w:rsid w:val="007B57C4"/>
    <w:rsid w:val="007D7DA3"/>
    <w:rsid w:val="007E0570"/>
    <w:rsid w:val="007E0CCC"/>
    <w:rsid w:val="007E6F76"/>
    <w:rsid w:val="007F2DD5"/>
    <w:rsid w:val="00800537"/>
    <w:rsid w:val="00800713"/>
    <w:rsid w:val="008049FE"/>
    <w:rsid w:val="0081313C"/>
    <w:rsid w:val="008208DF"/>
    <w:rsid w:val="00831D78"/>
    <w:rsid w:val="00832D43"/>
    <w:rsid w:val="00833907"/>
    <w:rsid w:val="00846593"/>
    <w:rsid w:val="0084731D"/>
    <w:rsid w:val="0085101F"/>
    <w:rsid w:val="0085393A"/>
    <w:rsid w:val="0085654C"/>
    <w:rsid w:val="00856EF4"/>
    <w:rsid w:val="0086011A"/>
    <w:rsid w:val="008738AA"/>
    <w:rsid w:val="00873FBA"/>
    <w:rsid w:val="00880748"/>
    <w:rsid w:val="00890AA1"/>
    <w:rsid w:val="008C0B22"/>
    <w:rsid w:val="008C3612"/>
    <w:rsid w:val="008C5DCC"/>
    <w:rsid w:val="008D5DAB"/>
    <w:rsid w:val="008F4580"/>
    <w:rsid w:val="0090418C"/>
    <w:rsid w:val="009168C5"/>
    <w:rsid w:val="009340AD"/>
    <w:rsid w:val="0094121D"/>
    <w:rsid w:val="009423DC"/>
    <w:rsid w:val="00943B29"/>
    <w:rsid w:val="0094581C"/>
    <w:rsid w:val="00945BFA"/>
    <w:rsid w:val="009510D9"/>
    <w:rsid w:val="009555F7"/>
    <w:rsid w:val="00961AA7"/>
    <w:rsid w:val="00962492"/>
    <w:rsid w:val="00962CA8"/>
    <w:rsid w:val="00963C15"/>
    <w:rsid w:val="00963EC0"/>
    <w:rsid w:val="009768BC"/>
    <w:rsid w:val="00994800"/>
    <w:rsid w:val="00995B0F"/>
    <w:rsid w:val="009A0320"/>
    <w:rsid w:val="009A181E"/>
    <w:rsid w:val="009A7D44"/>
    <w:rsid w:val="009B438D"/>
    <w:rsid w:val="009B4666"/>
    <w:rsid w:val="009C1DD3"/>
    <w:rsid w:val="009C7EBD"/>
    <w:rsid w:val="009D3C69"/>
    <w:rsid w:val="009D6647"/>
    <w:rsid w:val="009D77F7"/>
    <w:rsid w:val="009E1659"/>
    <w:rsid w:val="009E5AA4"/>
    <w:rsid w:val="009F5B0E"/>
    <w:rsid w:val="009F7FB7"/>
    <w:rsid w:val="00A0600B"/>
    <w:rsid w:val="00A07B8B"/>
    <w:rsid w:val="00A12A39"/>
    <w:rsid w:val="00A174EA"/>
    <w:rsid w:val="00A23867"/>
    <w:rsid w:val="00A25373"/>
    <w:rsid w:val="00A27A60"/>
    <w:rsid w:val="00A3043F"/>
    <w:rsid w:val="00A31965"/>
    <w:rsid w:val="00A4093D"/>
    <w:rsid w:val="00A500B7"/>
    <w:rsid w:val="00A6369D"/>
    <w:rsid w:val="00A82D7E"/>
    <w:rsid w:val="00A83B17"/>
    <w:rsid w:val="00A85B2A"/>
    <w:rsid w:val="00A9476D"/>
    <w:rsid w:val="00AB1BDA"/>
    <w:rsid w:val="00AB2E68"/>
    <w:rsid w:val="00AB5BF7"/>
    <w:rsid w:val="00AC6A42"/>
    <w:rsid w:val="00AE16F2"/>
    <w:rsid w:val="00AE6181"/>
    <w:rsid w:val="00B00E4E"/>
    <w:rsid w:val="00B35091"/>
    <w:rsid w:val="00B368E0"/>
    <w:rsid w:val="00B42157"/>
    <w:rsid w:val="00B60131"/>
    <w:rsid w:val="00B626ED"/>
    <w:rsid w:val="00B741A7"/>
    <w:rsid w:val="00B7741A"/>
    <w:rsid w:val="00B82E30"/>
    <w:rsid w:val="00B850C9"/>
    <w:rsid w:val="00B90E9C"/>
    <w:rsid w:val="00B94E11"/>
    <w:rsid w:val="00B96EF6"/>
    <w:rsid w:val="00BA14FD"/>
    <w:rsid w:val="00BB20BE"/>
    <w:rsid w:val="00BB351C"/>
    <w:rsid w:val="00BC08E8"/>
    <w:rsid w:val="00BC3915"/>
    <w:rsid w:val="00BC3EF0"/>
    <w:rsid w:val="00BD2C68"/>
    <w:rsid w:val="00BD2D24"/>
    <w:rsid w:val="00BD7744"/>
    <w:rsid w:val="00BF3A4A"/>
    <w:rsid w:val="00BF68CF"/>
    <w:rsid w:val="00BF7A92"/>
    <w:rsid w:val="00C0145E"/>
    <w:rsid w:val="00C02396"/>
    <w:rsid w:val="00C037CC"/>
    <w:rsid w:val="00C0602D"/>
    <w:rsid w:val="00C12893"/>
    <w:rsid w:val="00C15B42"/>
    <w:rsid w:val="00C16D65"/>
    <w:rsid w:val="00C33C47"/>
    <w:rsid w:val="00C43E6B"/>
    <w:rsid w:val="00C5055F"/>
    <w:rsid w:val="00C54761"/>
    <w:rsid w:val="00C62FDA"/>
    <w:rsid w:val="00C63161"/>
    <w:rsid w:val="00C7029E"/>
    <w:rsid w:val="00C72828"/>
    <w:rsid w:val="00C91DDD"/>
    <w:rsid w:val="00C93640"/>
    <w:rsid w:val="00CA0EBC"/>
    <w:rsid w:val="00CA355C"/>
    <w:rsid w:val="00CB6C5C"/>
    <w:rsid w:val="00CC37B2"/>
    <w:rsid w:val="00CD2102"/>
    <w:rsid w:val="00CD3CAB"/>
    <w:rsid w:val="00CD51C1"/>
    <w:rsid w:val="00CD6BFB"/>
    <w:rsid w:val="00CE4942"/>
    <w:rsid w:val="00CE5294"/>
    <w:rsid w:val="00CF4CF4"/>
    <w:rsid w:val="00CF5829"/>
    <w:rsid w:val="00D04F3C"/>
    <w:rsid w:val="00D15A54"/>
    <w:rsid w:val="00D21937"/>
    <w:rsid w:val="00D22023"/>
    <w:rsid w:val="00D24ECD"/>
    <w:rsid w:val="00D337FD"/>
    <w:rsid w:val="00D34C28"/>
    <w:rsid w:val="00D411E8"/>
    <w:rsid w:val="00D4291F"/>
    <w:rsid w:val="00D452DC"/>
    <w:rsid w:val="00D55945"/>
    <w:rsid w:val="00D651E7"/>
    <w:rsid w:val="00D65934"/>
    <w:rsid w:val="00D71F3A"/>
    <w:rsid w:val="00D8159F"/>
    <w:rsid w:val="00D81E60"/>
    <w:rsid w:val="00D919A5"/>
    <w:rsid w:val="00D9537B"/>
    <w:rsid w:val="00D9693B"/>
    <w:rsid w:val="00DA1680"/>
    <w:rsid w:val="00DA42E3"/>
    <w:rsid w:val="00DA60B6"/>
    <w:rsid w:val="00DB373D"/>
    <w:rsid w:val="00DC4421"/>
    <w:rsid w:val="00DD1096"/>
    <w:rsid w:val="00DD3375"/>
    <w:rsid w:val="00DD5AD6"/>
    <w:rsid w:val="00DE1293"/>
    <w:rsid w:val="00DF399F"/>
    <w:rsid w:val="00E00E67"/>
    <w:rsid w:val="00E03846"/>
    <w:rsid w:val="00E07F0B"/>
    <w:rsid w:val="00E11F8B"/>
    <w:rsid w:val="00E1558E"/>
    <w:rsid w:val="00E2594C"/>
    <w:rsid w:val="00E25FB8"/>
    <w:rsid w:val="00E3202A"/>
    <w:rsid w:val="00E339E4"/>
    <w:rsid w:val="00E61931"/>
    <w:rsid w:val="00E816A0"/>
    <w:rsid w:val="00E83127"/>
    <w:rsid w:val="00E8317A"/>
    <w:rsid w:val="00E84BEB"/>
    <w:rsid w:val="00E86B7F"/>
    <w:rsid w:val="00E92FD3"/>
    <w:rsid w:val="00EA24BE"/>
    <w:rsid w:val="00EA58F0"/>
    <w:rsid w:val="00EB2F30"/>
    <w:rsid w:val="00EB3D0E"/>
    <w:rsid w:val="00EC1A78"/>
    <w:rsid w:val="00EC38AB"/>
    <w:rsid w:val="00EC73F5"/>
    <w:rsid w:val="00ED3A55"/>
    <w:rsid w:val="00EE521D"/>
    <w:rsid w:val="00EF5C8A"/>
    <w:rsid w:val="00EF6865"/>
    <w:rsid w:val="00F00F7E"/>
    <w:rsid w:val="00F01585"/>
    <w:rsid w:val="00F03D40"/>
    <w:rsid w:val="00F0532F"/>
    <w:rsid w:val="00F07D5D"/>
    <w:rsid w:val="00F10920"/>
    <w:rsid w:val="00F10ED8"/>
    <w:rsid w:val="00F14EB2"/>
    <w:rsid w:val="00F1556D"/>
    <w:rsid w:val="00F16ABF"/>
    <w:rsid w:val="00F17F17"/>
    <w:rsid w:val="00F17F35"/>
    <w:rsid w:val="00F34672"/>
    <w:rsid w:val="00F35E04"/>
    <w:rsid w:val="00F37C05"/>
    <w:rsid w:val="00F4332D"/>
    <w:rsid w:val="00F56680"/>
    <w:rsid w:val="00F57ADE"/>
    <w:rsid w:val="00F81008"/>
    <w:rsid w:val="00F85D45"/>
    <w:rsid w:val="00FA7A16"/>
    <w:rsid w:val="00FB0BB8"/>
    <w:rsid w:val="00FB508E"/>
    <w:rsid w:val="00FC2528"/>
    <w:rsid w:val="00FC5696"/>
    <w:rsid w:val="00FD1AB3"/>
    <w:rsid w:val="00FD36B5"/>
    <w:rsid w:val="00FE53C3"/>
    <w:rsid w:val="00FF40A4"/>
    <w:rsid w:val="00FF57BC"/>
    <w:rsid w:val="00FF5DA9"/>
    <w:rsid w:val="00FF76CD"/>
    <w:rsid w:val="00FF7A71"/>
    <w:rsid w:val="02E35A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qFormat="1"/>
    <w:lsdException w:name="page number" w:uiPriority="99"/>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rPr>
      <w:rFonts w:ascii="宋体" w:hAnsi="Courier New"/>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note text"/>
    <w:basedOn w:val="a"/>
    <w:qFormat/>
    <w:pPr>
      <w:snapToGrid w:val="0"/>
      <w:jc w:val="left"/>
    </w:pPr>
    <w:rPr>
      <w:sz w:val="18"/>
      <w:szCs w:val="18"/>
    </w:rPr>
  </w:style>
  <w:style w:type="paragraph" w:styleId="a7">
    <w:name w:val="Normal (Web)"/>
    <w:basedOn w:val="a"/>
    <w:pPr>
      <w:widowControl/>
      <w:spacing w:before="100" w:beforeAutospacing="1" w:after="100" w:afterAutospacing="1" w:line="240" w:lineRule="atLeast"/>
      <w:jc w:val="left"/>
    </w:pPr>
    <w:rPr>
      <w:rFonts w:ascii="宋体" w:hAnsi="宋体" w:cs="宋体"/>
      <w:kern w:val="0"/>
      <w:sz w:val="24"/>
    </w:rPr>
  </w:style>
  <w:style w:type="paragraph" w:customStyle="1" w:styleId="CharCharCharChar">
    <w:name w:val="Char Char Char Char"/>
    <w:basedOn w:val="a"/>
    <w:pPr>
      <w:widowControl/>
      <w:spacing w:after="160" w:line="240" w:lineRule="exact"/>
      <w:jc w:val="left"/>
    </w:pPr>
  </w:style>
  <w:style w:type="character" w:styleId="a8">
    <w:name w:val="page number"/>
    <w:basedOn w:val="a0"/>
    <w:uiPriority w:val="99"/>
  </w:style>
  <w:style w:type="character" w:styleId="a9">
    <w:name w:val="Hyperlink"/>
    <w:rPr>
      <w:color w:val="0000FF"/>
      <w:u w:val="single"/>
    </w:rPr>
  </w:style>
  <w:style w:type="character" w:styleId="aa">
    <w:name w:val="footnote reference"/>
    <w:qFormat/>
    <w:rPr>
      <w:vertAlign w:val="superscript"/>
    </w:rPr>
  </w:style>
  <w:style w:type="paragraph" w:customStyle="1" w:styleId="Char">
    <w:name w:val="Char"/>
    <w:basedOn w:val="a"/>
    <w:pPr>
      <w:widowControl/>
      <w:spacing w:after="160" w:line="240" w:lineRule="exact"/>
      <w:jc w:val="left"/>
    </w:pPr>
    <w:rPr>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qFormat="1"/>
    <w:lsdException w:name="page number" w:uiPriority="99"/>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rPr>
      <w:rFonts w:ascii="宋体" w:hAnsi="Courier New"/>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note text"/>
    <w:basedOn w:val="a"/>
    <w:qFormat/>
    <w:pPr>
      <w:snapToGrid w:val="0"/>
      <w:jc w:val="left"/>
    </w:pPr>
    <w:rPr>
      <w:sz w:val="18"/>
      <w:szCs w:val="18"/>
    </w:rPr>
  </w:style>
  <w:style w:type="paragraph" w:styleId="a7">
    <w:name w:val="Normal (Web)"/>
    <w:basedOn w:val="a"/>
    <w:pPr>
      <w:widowControl/>
      <w:spacing w:before="100" w:beforeAutospacing="1" w:after="100" w:afterAutospacing="1" w:line="240" w:lineRule="atLeast"/>
      <w:jc w:val="left"/>
    </w:pPr>
    <w:rPr>
      <w:rFonts w:ascii="宋体" w:hAnsi="宋体" w:cs="宋体"/>
      <w:kern w:val="0"/>
      <w:sz w:val="24"/>
    </w:rPr>
  </w:style>
  <w:style w:type="paragraph" w:customStyle="1" w:styleId="CharCharCharChar">
    <w:name w:val="Char Char Char Char"/>
    <w:basedOn w:val="a"/>
    <w:pPr>
      <w:widowControl/>
      <w:spacing w:after="160" w:line="240" w:lineRule="exact"/>
      <w:jc w:val="left"/>
    </w:pPr>
  </w:style>
  <w:style w:type="character" w:styleId="a8">
    <w:name w:val="page number"/>
    <w:basedOn w:val="a0"/>
    <w:uiPriority w:val="99"/>
  </w:style>
  <w:style w:type="character" w:styleId="a9">
    <w:name w:val="Hyperlink"/>
    <w:rPr>
      <w:color w:val="0000FF"/>
      <w:u w:val="single"/>
    </w:rPr>
  </w:style>
  <w:style w:type="character" w:styleId="aa">
    <w:name w:val="footnote reference"/>
    <w:qFormat/>
    <w:rPr>
      <w:vertAlign w:val="superscript"/>
    </w:rPr>
  </w:style>
  <w:style w:type="paragraph" w:customStyle="1" w:styleId="Char">
    <w:name w:val="Char"/>
    <w:basedOn w:val="a"/>
    <w:pPr>
      <w:widowControl/>
      <w:spacing w:after="160" w:line="240" w:lineRule="exact"/>
      <w:jc w:val="left"/>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从“自然”到“人”——生态伦理何以可能？</dc:title>
  <dc:creator>samsung</dc:creator>
  <cp:lastModifiedBy>Bobby</cp:lastModifiedBy>
  <cp:revision>22</cp:revision>
  <dcterms:created xsi:type="dcterms:W3CDTF">2014-02-10T00:54:00Z</dcterms:created>
  <dcterms:modified xsi:type="dcterms:W3CDTF">2022-04-11T07:33:00Z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