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D28D9"/>
          <w:sz w:val="44"/>
        </w:rPr>
        <w:t>Guion de Leydis Niebles</w:t>
      </w:r>
    </w:p>
    <w:p>
      <w:r>
        <w:rPr>
          <w:color w:val="6B6880"/>
          <w:sz w:val="22"/>
        </w:rPr>
        <w:t>De chatbot a agente · Planeación Financiera, Maestría en Finanzas, Universidad del Norte</w:t>
      </w:r>
    </w:p>
    <w:p>
      <w:r>
        <w:t>Tiempo de Leydis: unos 20 minutos de una exposición de 60 (cerca del 34 %). Habla en 11 de las 38 diapositivas: toda la parte del manifiesto (7 a 12) y los temas contables de las skills (16, 19, 20 y 23), más el cierre (37). Lo que va en gris y cursiva son las indicaciones de entrada y salida; no se lee en voz alta.</w:t>
      </w:r>
    </w:p>
    <w:tbl>
      <w:tblPr>
        <w:tblStyle w:val="LightGrid-Accent4"/>
        <w:tblW w:type="auto" w:w="0"/>
        <w:tblLook w:firstColumn="1" w:firstRow="1" w:lastColumn="0" w:lastRow="0" w:noHBand="0" w:noVBand="1" w:val="04A0"/>
      </w:tblPr>
      <w:tblGrid>
        <w:gridCol w:w="3211"/>
        <w:gridCol w:w="3211"/>
        <w:gridCol w:w="3211"/>
      </w:tblGrid>
      <w:tr>
        <w:tc>
          <w:tcPr>
            <w:tcW w:type="dxa" w:w="3211"/>
          </w:tcPr>
          <w:p>
            <w:r>
              <w:t>Diapositiva</w:t>
            </w:r>
          </w:p>
        </w:tc>
        <w:tc>
          <w:tcPr>
            <w:tcW w:type="dxa" w:w="3211"/>
          </w:tcPr>
          <w:p>
            <w:r>
              <w:t>Tema</w:t>
            </w:r>
          </w:p>
        </w:tc>
        <w:tc>
          <w:tcPr>
            <w:tcW w:type="dxa" w:w="3211"/>
          </w:tcPr>
          <w:p>
            <w:r>
              <w:t>Minutos</w:t>
            </w:r>
          </w:p>
        </w:tc>
      </w:tr>
      <w:tr>
        <w:tc>
          <w:tcPr>
            <w:tcW w:type="dxa" w:w="3211"/>
          </w:tcPr>
          <w:p>
            <w:r>
              <w:t>7</w:t>
            </w:r>
          </w:p>
        </w:tc>
        <w:tc>
          <w:tcPr>
            <w:tcW w:type="dxa" w:w="3211"/>
          </w:tcPr>
          <w:p>
            <w:r>
              <w:t>El manifiesto del agente</w:t>
            </w:r>
          </w:p>
        </w:tc>
        <w:tc>
          <w:tcPr>
            <w:tcW w:type="dxa" w:w="3211"/>
          </w:tcPr>
          <w:p>
            <w:r>
              <w:t>0,8</w:t>
            </w:r>
          </w:p>
        </w:tc>
      </w:tr>
      <w:tr>
        <w:tc>
          <w:tcPr>
            <w:tcW w:type="dxa" w:w="3211"/>
          </w:tcPr>
          <w:p>
            <w:r>
              <w:t>8</w:t>
            </w:r>
          </w:p>
        </w:tc>
        <w:tc>
          <w:tcPr>
            <w:tcW w:type="dxa" w:w="3211"/>
          </w:tcPr>
          <w:p>
            <w:r>
              <w:t>Si un dato no está en el manifiesto, el agente no lo inventa</w:t>
            </w:r>
          </w:p>
        </w:tc>
        <w:tc>
          <w:tcPr>
            <w:tcW w:type="dxa" w:w="3211"/>
          </w:tcPr>
          <w:p>
            <w:r>
              <w:t>2,0</w:t>
            </w:r>
          </w:p>
        </w:tc>
      </w:tr>
      <w:tr>
        <w:tc>
          <w:tcPr>
            <w:tcW w:type="dxa" w:w="3211"/>
          </w:tcPr>
          <w:p>
            <w:r>
              <w:t>9</w:t>
            </w:r>
          </w:p>
        </w:tc>
        <w:tc>
          <w:tcPr>
            <w:tcW w:type="dxa" w:w="3211"/>
          </w:tcPr>
          <w:p>
            <w:r>
              <w:t>Educación financiera sí; asesoría de inversión no</w:t>
            </w:r>
          </w:p>
        </w:tc>
        <w:tc>
          <w:tcPr>
            <w:tcW w:type="dxa" w:w="3211"/>
          </w:tcPr>
          <w:p>
            <w:r>
              <w:t>2,5</w:t>
            </w:r>
          </w:p>
        </w:tc>
      </w:tr>
      <w:tr>
        <w:tc>
          <w:tcPr>
            <w:tcW w:type="dxa" w:w="3211"/>
          </w:tcPr>
          <w:p>
            <w:r>
              <w:t>10</w:t>
            </w:r>
          </w:p>
        </w:tc>
        <w:tc>
          <w:tcPr>
            <w:tcW w:type="dxa" w:w="3211"/>
          </w:tcPr>
          <w:p>
            <w:r>
              <w:t>Los números que el agente usa, con su norma</w:t>
            </w:r>
          </w:p>
        </w:tc>
        <w:tc>
          <w:tcPr>
            <w:tcW w:type="dxa" w:w="3211"/>
          </w:tcPr>
          <w:p>
            <w:r>
              <w:t>2,5</w:t>
            </w:r>
          </w:p>
        </w:tc>
      </w:tr>
      <w:tr>
        <w:tc>
          <w:tcPr>
            <w:tcW w:type="dxa" w:w="3211"/>
          </w:tcPr>
          <w:p>
            <w:r>
              <w:t>11</w:t>
            </w:r>
          </w:p>
        </w:tc>
        <w:tc>
          <w:tcPr>
            <w:tcW w:type="dxa" w:w="3211"/>
          </w:tcPr>
          <w:p>
            <w:r>
              <w:t>Semáforos y el orden correcto: ¿deudas o ahorro?</w:t>
            </w:r>
          </w:p>
        </w:tc>
        <w:tc>
          <w:tcPr>
            <w:tcW w:type="dxa" w:w="3211"/>
          </w:tcPr>
          <w:p>
            <w:r>
              <w:t>2,0</w:t>
            </w:r>
          </w:p>
        </w:tc>
      </w:tr>
      <w:tr>
        <w:tc>
          <w:tcPr>
            <w:tcW w:type="dxa" w:w="3211"/>
          </w:tcPr>
          <w:p>
            <w:r>
              <w:t>12</w:t>
            </w:r>
          </w:p>
        </w:tc>
        <w:tc>
          <w:tcPr>
            <w:tcW w:type="dxa" w:w="3211"/>
          </w:tcPr>
          <w:p>
            <w:r>
              <w:t>Familia Rodríguez Cárdenas: la casa todavía no es la prioridad</w:t>
            </w:r>
          </w:p>
        </w:tc>
        <w:tc>
          <w:tcPr>
            <w:tcW w:type="dxa" w:w="3211"/>
          </w:tcPr>
          <w:p>
            <w:r>
              <w:t>2,5</w:t>
            </w:r>
          </w:p>
        </w:tc>
      </w:tr>
      <w:tr>
        <w:tc>
          <w:tcPr>
            <w:tcW w:type="dxa" w:w="3211"/>
          </w:tcPr>
          <w:p>
            <w:r>
              <w:t>16</w:t>
            </w:r>
          </w:p>
        </w:tc>
        <w:tc>
          <w:tcPr>
            <w:tcW w:type="dxa" w:w="3211"/>
          </w:tcPr>
          <w:p>
            <w:r>
              <w:t>CDTLive: el cálculo</w:t>
            </w:r>
          </w:p>
        </w:tc>
        <w:tc>
          <w:tcPr>
            <w:tcW w:type="dxa" w:w="3211"/>
          </w:tcPr>
          <w:p>
            <w:r>
              <w:t>2,0</w:t>
            </w:r>
          </w:p>
        </w:tc>
      </w:tr>
      <w:tr>
        <w:tc>
          <w:tcPr>
            <w:tcW w:type="dxa" w:w="3211"/>
          </w:tcPr>
          <w:p>
            <w:r>
              <w:t>19</w:t>
            </w:r>
          </w:p>
        </w:tc>
        <w:tc>
          <w:tcPr>
            <w:tcW w:type="dxa" w:w="3211"/>
          </w:tcPr>
          <w:p>
            <w:r>
              <w:t>CDTLive: el Excel de 9 hojas</w:t>
            </w:r>
          </w:p>
        </w:tc>
        <w:tc>
          <w:tcPr>
            <w:tcW w:type="dxa" w:w="3211"/>
          </w:tcPr>
          <w:p>
            <w:r>
              <w:t>1,5</w:t>
            </w:r>
          </w:p>
        </w:tc>
      </w:tr>
      <w:tr>
        <w:tc>
          <w:tcPr>
            <w:tcW w:type="dxa" w:w="3211"/>
          </w:tcPr>
          <w:p>
            <w:r>
              <w:t>20</w:t>
            </w:r>
          </w:p>
        </w:tc>
        <w:tc>
          <w:tcPr>
            <w:tcW w:type="dxa" w:w="3211"/>
          </w:tcPr>
          <w:p>
            <w:r>
              <w:t>CDTLive: un informe que no puede inventar cifras</w:t>
            </w:r>
          </w:p>
        </w:tc>
        <w:tc>
          <w:tcPr>
            <w:tcW w:type="dxa" w:w="3211"/>
          </w:tcPr>
          <w:p>
            <w:r>
              <w:t>1,5</w:t>
            </w:r>
          </w:p>
        </w:tc>
      </w:tr>
      <w:tr>
        <w:tc>
          <w:tcPr>
            <w:tcW w:type="dxa" w:w="3211"/>
          </w:tcPr>
          <w:p>
            <w:r>
              <w:t>23</w:t>
            </w:r>
          </w:p>
        </w:tc>
        <w:tc>
          <w:tcPr>
            <w:tcW w:type="dxa" w:w="3211"/>
          </w:tcPr>
          <w:p>
            <w:r>
              <w:t>RiskLive: el mismo modelo, con otras preguntas</w:t>
            </w:r>
          </w:p>
        </w:tc>
        <w:tc>
          <w:tcPr>
            <w:tcW w:type="dxa" w:w="3211"/>
          </w:tcPr>
          <w:p>
            <w:r>
              <w:t>1,5</w:t>
            </w:r>
          </w:p>
        </w:tc>
      </w:tr>
      <w:tr>
        <w:tc>
          <w:tcPr>
            <w:tcW w:type="dxa" w:w="3211"/>
          </w:tcPr>
          <w:p>
            <w:r>
              <w:t>37</w:t>
            </w:r>
          </w:p>
        </w:tc>
        <w:tc>
          <w:tcPr>
            <w:tcW w:type="dxa" w:w="3211"/>
          </w:tcPr>
          <w:p>
            <w:r>
              <w:t>Por qué se puede confiar</w:t>
            </w:r>
          </w:p>
        </w:tc>
        <w:tc>
          <w:tcPr>
            <w:tcW w:type="dxa" w:w="3211"/>
          </w:tcPr>
          <w:p>
            <w:r>
              <w:t>1,5</w:t>
            </w:r>
          </w:p>
        </w:tc>
      </w:tr>
      <w:tr>
        <w:tc>
          <w:tcPr>
            <w:tcW w:type="dxa" w:w="3211"/>
          </w:tcPr>
          <w:p>
            <w:r/>
          </w:p>
        </w:tc>
        <w:tc>
          <w:tcPr>
            <w:tcW w:type="dxa" w:w="3211"/>
          </w:tcPr>
          <w:p>
            <w:r>
              <w:t>Total</w:t>
            </w:r>
          </w:p>
        </w:tc>
        <w:tc>
          <w:tcPr>
            <w:tcW w:type="dxa" w:w="3211"/>
          </w:tcPr>
          <w:p>
            <w:r>
              <w:t>20,2</w:t>
            </w:r>
          </w:p>
        </w:tc>
      </w:tr>
    </w:tbl>
    <w:p>
      <w:pPr>
        <w:pStyle w:val="Heading2"/>
      </w:pPr>
      <w:r>
        <w:rPr>
          <w:color w:val="6D28D9"/>
        </w:rPr>
        <w:t>Diapositiva 7 · El manifiesto del agente</w:t>
      </w:r>
    </w:p>
    <w:p>
      <w:r>
        <w:rPr>
          <w:color w:val="6B6880"/>
          <w:sz w:val="20"/>
        </w:rPr>
        <w:t>Tiempo: 0,8 min</w:t>
      </w:r>
    </w:p>
    <w:p>
      <w:r>
        <w:rPr>
          <w:i/>
          <w:color w:val="6B6880"/>
        </w:rPr>
        <w:t>[Luis termina la diapositiva 6 y dice: "Ahora Leydis les va a contar quién le pone las reglas al agente".]</w:t>
      </w:r>
    </w:p>
    <w:p>
      <w:pPr>
        <w:spacing w:after="160" w:line="288" w:lineRule="auto"/>
      </w:pPr>
      <w:r>
        <w:t>Gracias, Luis. Hola a todos.</w:t>
      </w:r>
    </w:p>
    <w:p>
      <w:pPr>
        <w:spacing w:after="160" w:line="288" w:lineRule="auto"/>
      </w:pPr>
      <w:r>
        <w:t>Luis les acaba de mostrar que un agente puede buscar datos, calcular y entregar un Excel. Cuando yo lo vi, como contadora, me hice otra pregunta: ¿quién le pone las reglas? Ningún analista junior trabaja sin un manual de procedimientos y sin las políticas de la firma. Al agente le pasa lo mismo.</w:t>
      </w:r>
    </w:p>
    <w:p>
      <w:pPr>
        <w:spacing w:after="160" w:line="288" w:lineRule="auto"/>
      </w:pPr>
      <w:r>
        <w:t>Ese manual es el manifiesto. Es un libro de Excel que el agente consulta antes de responder, con corte normativo al 30 de septiembre de 2026. Tiene cinco hojas: parámetros, reglas tributarias, límites regulatorios, reglas de prudencia y un caso de estudio. Se las voy a mostrar en ese orden.</w:t>
      </w:r>
    </w:p>
    <w:p>
      <w:pPr>
        <w:pStyle w:val="Heading2"/>
      </w:pPr>
      <w:r>
        <w:rPr>
          <w:color w:val="6D28D9"/>
        </w:rPr>
        <w:t>Diapositiva 8 · Si un dato no está en el manifiesto, el agente no lo inventa</w:t>
      </w:r>
    </w:p>
    <w:p>
      <w:r>
        <w:rPr>
          <w:color w:val="6B6880"/>
          <w:sz w:val="20"/>
        </w:rPr>
        <w:t>Tiempo: 2,0 min</w:t>
      </w:r>
    </w:p>
    <w:p>
      <w:pPr>
        <w:spacing w:after="160" w:line="288" w:lineRule="auto"/>
      </w:pPr>
      <w:r>
        <w:t>La regla principal es esta: si un dato no está en el manifiesto o ya está vencido, el agente no se lo inventa. Lo marca como "por verificar" y remite a la fuente oficial.</w:t>
      </w:r>
    </w:p>
    <w:p>
      <w:pPr>
        <w:spacing w:after="160" w:line="288" w:lineRule="auto"/>
      </w:pPr>
      <w:r>
        <w:t>Las reglas tienen un orden, a la izquierda. Primero van los límites regulatorios, que no se negocian. Después las reglas tributarias vigentes. Luego las reglas de prudencia, que son criterio técnico. Y de último, las preferencias del usuario. Si el usuario pide algo que choca con una norma, gana la norma.</w:t>
      </w:r>
    </w:p>
    <w:p>
      <w:pPr>
        <w:spacing w:after="160" w:line="288" w:lineRule="auto"/>
      </w:pPr>
      <w:r>
        <w:t>Sobre ese orden hay cinco principios, a la derecha. El primero es que el agente educa y no asesora: explica, calcula escenarios y alerta, pero no recomienda un producto.</w:t>
      </w:r>
    </w:p>
    <w:p>
      <w:pPr>
        <w:spacing w:after="160" w:line="288" w:lineRule="auto"/>
      </w:pPr>
      <w:r>
        <w:t>El segundo es la trazabilidad. Toda cifra normativa cita la norma y el año gravable. El agente nunca mezcla la UVT de 2025 con la de 2026 en un mismo cálculo, que es un error muy frecuente en las declaraciones de renta.</w:t>
      </w:r>
    </w:p>
    <w:p>
      <w:pPr>
        <w:spacing w:after="160" w:line="288" w:lineRule="auto"/>
      </w:pPr>
      <w:r>
        <w:t>El tercero es la vigencia. La tasa de usura se certifica cada mes; si la conversación ocurre en octubre, el agente advierte que la de septiembre ya no aplica.</w:t>
      </w:r>
    </w:p>
    <w:p>
      <w:pPr>
        <w:spacing w:after="160" w:line="288" w:lineRule="auto"/>
      </w:pPr>
      <w:r>
        <w:t>El cuarto es el mínimo dato: nunca pide claves, códigos OTP ni el número completo de una tarjeta. Y el quinto es el escalamiento. Una sucesión, activos en el exterior o una crisis de deudas se remiten a un contador o a un abogado.</w:t>
      </w:r>
    </w:p>
    <w:p>
      <w:pPr>
        <w:pStyle w:val="Heading2"/>
      </w:pPr>
      <w:r>
        <w:rPr>
          <w:color w:val="6D28D9"/>
        </w:rPr>
        <w:t>Diapositiva 9 · Educación financiera sí; asesoría de inversión no</w:t>
      </w:r>
    </w:p>
    <w:p>
      <w:r>
        <w:rPr>
          <w:color w:val="6B6880"/>
          <w:sz w:val="20"/>
        </w:rPr>
        <w:t>Tiempo: 2,5 min</w:t>
      </w:r>
    </w:p>
    <w:p>
      <w:pPr>
        <w:spacing w:after="160" w:line="288" w:lineRule="auto"/>
      </w:pPr>
      <w:r>
        <w:t>Esta es la hoja de límites regulatorios, la de más arriba en la jerarquía.</w:t>
      </w:r>
    </w:p>
    <w:p>
      <w:pPr>
        <w:spacing w:after="160" w:line="288" w:lineRule="auto"/>
      </w:pPr>
      <w:r>
        <w:t>En Colombia, la asesoría es una recomendación personalizada para comprar, vender o mantener un producto de inversión, y según el Decreto 661 de 2018 solo la pueden dar entidades vigiladas por la Superfinanciera, a través de profesionales inscritos en el RNPMV. Nuestro agente no es eso. Lo que sí puede hacer está en la regla R-02: explicar conceptos, calcular escenarios con los datos del usuario y comparar tipologías de productos, por ejemplo un CDT frente a un fondo de inversión colectiva, una AFC o una pensión voluntaria, por liquidez, riesgo, costo y tratamiento tributario.</w:t>
      </w:r>
    </w:p>
    <w:p>
      <w:pPr>
        <w:spacing w:after="160" w:line="288" w:lineRule="auto"/>
      </w:pPr>
      <w:r>
        <w:t>Lo que no puede hacer está en la R-03: recomendar el CDT o el fondo de una entidad específica, armar un portafolio personalizado, prometer rentabilidades como si fueran seguras, mover dinero o pedir claves.</w:t>
      </w:r>
    </w:p>
    <w:p>
      <w:pPr>
        <w:spacing w:after="160" w:line="288" w:lineRule="auto"/>
      </w:pPr>
      <w:r>
        <w:t>La pregunta más difícil es la de abajo, la R-04: "¿en qué invierto mis diez millones?". El agente puede responder con criterios de decisión: plazo, liquidez, riesgo, costo, impuestos y la cobertura de Fogafín, más una lista de preguntas para llevarle a un asesor inscrito. No puede decir "compre el CDT del banco X a doce meses".</w:t>
      </w:r>
    </w:p>
    <w:p>
      <w:pPr>
        <w:spacing w:after="160" w:line="288" w:lineRule="auto"/>
      </w:pPr>
      <w:r>
        <w:t>Aquí hay un punto fino con la skill que les va a mostrar Luis. CDTLive ordena las entidades por la tasa que reportan a la Superfinanciera. Es información pública y el informe describe el dato sin decir "le conviene". Esa línea la cuidamos en la redacción de cada informe.</w:t>
      </w:r>
    </w:p>
    <w:p>
      <w:pPr>
        <w:spacing w:after="160" w:line="288" w:lineRule="auto"/>
      </w:pPr>
      <w:r>
        <w:t>A la derecha están las alertas rojas. Si el usuario tiene un crédito de consumo por encima de la usura, que en septiembre de 2026 es 29,24 % efectivo anual, el cobro es ilegal y el agente se lo dice. Si le ofrecen rentabilidades fijas muy altas o un préstamo gota a gota, lo alerta como posible fraude. Y en datos personales aplicamos la Ley 1581 de 2012: autorización previa antes de pedir cualquier cifra, y la Circular 002 de 2024 de la Superintendencia de Industria y Comercio sobre inteligencia artificial.</w:t>
      </w:r>
    </w:p>
    <w:p>
      <w:pPr>
        <w:pStyle w:val="Heading2"/>
      </w:pPr>
      <w:r>
        <w:rPr>
          <w:color w:val="6D28D9"/>
        </w:rPr>
        <w:t>Diapositiva 10 · Los números que el agente usa, con su norma</w:t>
      </w:r>
    </w:p>
    <w:p>
      <w:r>
        <w:rPr>
          <w:color w:val="6B6880"/>
          <w:sz w:val="20"/>
        </w:rPr>
        <w:t>Tiempo: 2,5 min</w:t>
      </w:r>
    </w:p>
    <w:p>
      <w:pPr>
        <w:spacing w:after="160" w:line="288" w:lineRule="auto"/>
      </w:pPr>
      <w:r>
        <w:t>Esta hoja es la parte más contable del manifiesto. A la izquierda están los parámetros, y cada uno tiene su norma y su fecha de verificación.</w:t>
      </w:r>
    </w:p>
    <w:p>
      <w:pPr>
        <w:spacing w:after="160" w:line="288" w:lineRule="auto"/>
      </w:pPr>
      <w:r>
        <w:t>La UVT de 2026 es de 52.374 pesos, según la Resolución DIAN 000238 de 2025. El salario mínimo es de 1.750.905 pesos. La usura de septiembre es 29,24 %. La retención en la fuente sobre los rendimientos de un CDT es del 4 %, sin base mínima; en las cuentas de ahorro es del 7 %, con base mínima diaria. Y el cuatro por mil es 0,4 % de cada retiro, con una cuenta exenta hasta 350 UVT al mes.</w:t>
      </w:r>
    </w:p>
    <w:p>
      <w:pPr>
        <w:spacing w:after="160" w:line="288" w:lineRule="auto"/>
      </w:pPr>
      <w:r>
        <w:t>Un detalle que la gente suele olvidar: para quien declara, la retención es un anticipo del impuesto de renta; para quien no declara, es el impuesto definitivo.</w:t>
      </w:r>
    </w:p>
    <w:p>
      <w:pPr>
        <w:spacing w:after="160" w:line="288" w:lineRule="auto"/>
      </w:pPr>
      <w:r>
        <w:t>A la derecha están las reglas para personas naturales del año gravable 2026. Hay que declarar si los ingresos brutos, los consumos con tarjeta, las compras o las consignaciones superan 1.400 UVT, es decir, 73,3 millones, o si el patrimonio supera 4.500 UVT, unos 235,7 millones. Basta con cumplir uno de los topes. Por eso el agente pregunta por todos antes de concluir que alguien no declara.</w:t>
      </w:r>
    </w:p>
    <w:p>
      <w:pPr>
        <w:spacing w:after="160" w:line="288" w:lineRule="auto"/>
      </w:pPr>
      <w:r>
        <w:t>Los aportes a AFC y a pensión voluntaria son renta exenta hasta el 30 % del ingreso, con un máximo de 3.800 UVT al año. Pero hay una regla que el agente siempre revisa primero: la suma de rentas exentas y deducciones no puede pasar del 40 % del ingreso depurado ni de 1.340 UVT, unos 70,2 millones. Antes de sugerir cualquier beneficio tributario, el agente calcula cuánto espacio le queda a la persona dentro de ese límite.</w:t>
      </w:r>
    </w:p>
    <w:p>
      <w:pPr>
        <w:pStyle w:val="Heading2"/>
      </w:pPr>
      <w:r>
        <w:rPr>
          <w:color w:val="6D28D9"/>
        </w:rPr>
        <w:t>Diapositiva 11 · Semáforos y el orden correcto: ¿deudas o ahorro?</w:t>
      </w:r>
    </w:p>
    <w:p>
      <w:r>
        <w:rPr>
          <w:color w:val="6B6880"/>
          <w:sz w:val="20"/>
        </w:rPr>
        <w:t>Tiempo: 2,0 min</w:t>
      </w:r>
    </w:p>
    <w:p>
      <w:pPr>
        <w:spacing w:after="160" w:line="288" w:lineRule="auto"/>
      </w:pPr>
      <w:r>
        <w:t>Las reglas de prudencia son criterio técnico. Donde hay norma, se cita; donde no, lo decimos.</w:t>
      </w:r>
    </w:p>
    <w:p>
      <w:pPr>
        <w:spacing w:after="160" w:line="288" w:lineRule="auto"/>
      </w:pPr>
      <w:r>
        <w:t>Cada indicador tiene un semáforo. Las cuotas de todas las deudas no deberían pasar del 30 % del ingreso neto; por encima del 40 % el agente activa un plan de desendeudamiento antes de hablar de cualquier meta. Las deudas de consumo, solas, no deberían pasar del 20 %. La primera cuota de un crédito de vivienda no puede superar el 30 % de los ingresos familiares, que es un límite de la Ley 546 de 1999.</w:t>
      </w:r>
    </w:p>
    <w:p>
      <w:pPr>
        <w:spacing w:after="160" w:line="288" w:lineRule="auto"/>
      </w:pPr>
      <w:r>
        <w:t>El fondo de emergencia depende de qué tan estables sean los ingresos: tres meses si todos son estables, cuatro si el hogar es mixto y seis si hay un solo ingreso o todos son independientes. Menos de un mes es rojo. La tasa de ahorro debería estar por encima del 10 %.</w:t>
      </w:r>
    </w:p>
    <w:p>
      <w:pPr>
        <w:spacing w:after="160" w:line="288" w:lineRule="auto"/>
      </w:pPr>
      <w:r>
        <w:t>Y definimos qué es una deuda cara: la que tiene una tasa mayor que lo que rinde un CDT neto de retención, más cinco puntos.</w:t>
      </w:r>
    </w:p>
    <w:p>
      <w:pPr>
        <w:spacing w:after="160" w:line="288" w:lineRule="auto"/>
      </w:pPr>
      <w:r>
        <w:t>Con eso sale la cascada de la derecha, que responde la pregunta de siempre: ¿pago deudas o ahorro? Primero estar al día con los mínimos. Después un colchón de un mes de gastos. Luego pagar las deudas caras, de la tasa más alta a la más baja. Después completar el fondo de emergencia. Y solo entonces, la vivienda y la inversión de largo plazo.</w:t>
      </w:r>
    </w:p>
    <w:p>
      <w:pPr>
        <w:pStyle w:val="Heading2"/>
      </w:pPr>
      <w:r>
        <w:rPr>
          <w:color w:val="6D28D9"/>
        </w:rPr>
        <w:t>Diapositiva 12 · Familia Rodríguez Cárdenas: la casa todavía no es la prioridad</w:t>
      </w:r>
    </w:p>
    <w:p>
      <w:r>
        <w:rPr>
          <w:color w:val="6B6880"/>
          <w:sz w:val="20"/>
        </w:rPr>
        <w:t>Tiempo: 2,5 min</w:t>
      </w:r>
    </w:p>
    <w:p>
      <w:pPr>
        <w:spacing w:after="160" w:line="288" w:lineRule="auto"/>
      </w:pPr>
      <w:r>
        <w:t>Para probar el manifiesto armé un caso con una familia ficticia de Barranquilla. Andrés tiene 35 años, es ingeniero con contrato indefinido. Laura tiene 33, es diseñadora independiente y sus ingresos varían. Tienen una hija de 5 años, viven en arriendo y quieren comprar apartamento en 36 meses. El ingreso neto del hogar es de 7,78 millones al mes.</w:t>
      </w:r>
    </w:p>
    <w:p>
      <w:pPr>
        <w:spacing w:after="160" w:line="288" w:lineRule="auto"/>
      </w:pPr>
      <w:r>
        <w:t>El diagnóstico sale de los semáforos. El endeudamiento total está en verde, en 26 %. Pero las tres deudas son de consumo, así que ese mismo 26 % queda en rojo frente al límite de consumo. Ahorran apenas el 1,2 % del ingreso, usan el 68 % del cupo de la tarjeta y pagan solo el mínimo. El fondo de emergencia alcanza para menos de un mes, cuando por ser un hogar mixto deberían tener cuatro.</w:t>
      </w:r>
    </w:p>
    <w:p>
      <w:pPr>
        <w:spacing w:after="160" w:line="288" w:lineRule="auto"/>
      </w:pPr>
      <w:r>
        <w:t>Siguiendo la cascada, el agente les diría esto. Primero, completar un mes de colchón con la cuenta de ahorros y el excedente mensual. Cuando venza el CDT que tienen, en cuatro meses, pagar la tarjeta completa, que cobra 28 %, y abonar el resto al crédito de libre inversión. Tener plata en un CDT al 9,2 % neto mientras se debe al 28 % es perder unos 19 puntos al año.</w:t>
      </w:r>
    </w:p>
    <w:p>
      <w:pPr>
        <w:spacing w:after="160" w:line="288" w:lineRule="auto"/>
      </w:pPr>
      <w:r>
        <w:t>Sobre la vivienda, el apartamento no VIS no es viable en 36 meses: al ritmo del plan tomaría 97. Con una vivienda VIS serían 61 meses. El agente les muestra los dos escenarios sin recomendarles un proyecto ni un banco.</w:t>
      </w:r>
    </w:p>
    <w:p>
      <w:pPr>
        <w:spacing w:after="160" w:line="288" w:lineRule="auto"/>
      </w:pPr>
      <w:r>
        <w:t>El resultado que más me gusta es el de la AFC. Es un buen vehículo para ahorrar la cuota inicial, pero en este caso el ahorro tributario es cero pesos, porque la renta gravable de Andrés ya está por debajo de 1.090 UVT y no tiene impuesto a cargo. El agente no se la puede vender como un ahorro de impuestos. Además, con 62,4 millones de ingreso bruto al año, Andrés está por debajo del tope de 73,3 millones, así que no está obligado a declarar por ingresos; hay que revisar los demás topes.</w:t>
      </w:r>
    </w:p>
    <w:p>
      <w:pPr>
        <w:spacing w:after="160" w:line="288" w:lineRule="auto"/>
      </w:pPr>
      <w:r>
        <w:t>Para elegir el crédito hipotecario o para presentar la renta, el agente los remite a un asesor de una entidad vigilada o a un contador público.</w:t>
      </w:r>
    </w:p>
    <w:p>
      <w:r>
        <w:rPr>
          <w:i/>
          <w:color w:val="6B6880"/>
        </w:rPr>
        <w:t>[Luis continúa con la parte 3: "Con esas reglas claras, veamos la primera skill" (diapositivas 13 a 15).]</w:t>
      </w:r>
    </w:p>
    <w:p>
      <w:pPr>
        <w:pStyle w:val="Heading2"/>
      </w:pPr>
      <w:r>
        <w:rPr>
          <w:color w:val="6D28D9"/>
        </w:rPr>
        <w:t>Diapositiva 16 · CDTLive: el cálculo</w:t>
      </w:r>
    </w:p>
    <w:p>
      <w:r>
        <w:rPr>
          <w:color w:val="6B6880"/>
          <w:sz w:val="20"/>
        </w:rPr>
        <w:t>Tiempo: 2,0 min</w:t>
      </w:r>
    </w:p>
    <w:p>
      <w:r>
        <w:rPr>
          <w:i/>
          <w:color w:val="6B6880"/>
        </w:rPr>
        <w:t>[Luis termina la diapositiva 15 y dice: "Leydis les explica cómo se hace el cálculo".]</w:t>
      </w:r>
    </w:p>
    <w:p>
      <w:pPr>
        <w:spacing w:after="160" w:line="288" w:lineRule="auto"/>
      </w:pPr>
      <w:r>
        <w:t>Este es el mismo cálculo que hace el simulador de CDT de un banco, y se puede verificar a mano con la calculadora financiera del curso. Tomemos el mejor caso: 10 millones a 360 días en Pibank, al 13,46 % efectivo anual.</w:t>
      </w:r>
    </w:p>
    <w:p>
      <w:pPr>
        <w:spacing w:after="160" w:line="288" w:lineRule="auto"/>
      </w:pPr>
      <w:r>
        <w:t>Primero se lleva la tasa al plazo real. Como el año se cuenta de 365 días, la tasa de 360 días es 1,1346 elevado a 360 sobre 365, menos uno: cerca de 13,26 %. Eso da un interés bruto de 1.326.390 pesos.</w:t>
      </w:r>
    </w:p>
    <w:p>
      <w:pPr>
        <w:spacing w:after="160" w:line="288" w:lineRule="auto"/>
      </w:pPr>
      <w:r>
        <w:t>Luego la retención en la fuente del 4 % sobre ese interés: 53.056 pesos. El interés neto que recibe la persona es 1.273.334 pesos.</w:t>
      </w:r>
    </w:p>
    <w:p>
      <w:pPr>
        <w:spacing w:after="160" w:line="288" w:lineRule="auto"/>
      </w:pPr>
      <w:r>
        <w:t>Con esos flujos se calcula la rentabilidad neta, que es la TIR anualizada: 12,92 %. Y si le quitamos la inflación de los últimos doce meses, 6,25 % según el DANE, queda una rentabilidad real de 6,28 %. Ese es el dato que de verdad le dice a alguien cuánto poder de compra ganó.</w:t>
      </w:r>
    </w:p>
    <w:p>
      <w:pPr>
        <w:spacing w:after="160" w:line="288" w:lineRule="auto"/>
      </w:pPr>
      <w:r>
        <w:t>Una alerta más: el seguro de depósitos de Fogafín cubre hasta 50 millones por persona y por entidad, sumando capital e intereses. Si el valor final pasa de ahí, el agente lo advierte.</w:t>
      </w:r>
    </w:p>
    <w:p>
      <w:r>
        <w:rPr>
          <w:i/>
          <w:color w:val="6B6880"/>
        </w:rPr>
        <w:t>[Luis presenta las diapositivas 17 y 18 (resultado y comparación por tipo de entidad).]</w:t>
      </w:r>
    </w:p>
    <w:p>
      <w:pPr>
        <w:pStyle w:val="Heading2"/>
      </w:pPr>
      <w:r>
        <w:rPr>
          <w:color w:val="6D28D9"/>
        </w:rPr>
        <w:t>Diapositiva 19 · CDTLive: el Excel de 9 hojas</w:t>
      </w:r>
    </w:p>
    <w:p>
      <w:r>
        <w:rPr>
          <w:color w:val="6B6880"/>
          <w:sz w:val="20"/>
        </w:rPr>
        <w:t>Tiempo: 1,5 min</w:t>
      </w:r>
    </w:p>
    <w:p>
      <w:r>
        <w:rPr>
          <w:i/>
          <w:color w:val="6B6880"/>
        </w:rPr>
        <w:t>[Luis termina la diapositiva 18 y le da la palabra.]</w:t>
      </w:r>
    </w:p>
    <w:p>
      <w:pPr>
        <w:spacing w:after="160" w:line="288" w:lineRule="auto"/>
      </w:pPr>
      <w:r>
        <w:t>Lo que más me convence de esta skill es que el Excel se puede auditar como un papel de trabajo.</w:t>
      </w:r>
    </w:p>
    <w:p>
      <w:pPr>
        <w:spacing w:after="160" w:line="288" w:lineRule="auto"/>
      </w:pPr>
      <w:r>
        <w:t>La hoja Parámetros tiene las entradas en azul: si uno cambia el monto o el plazo, todo el libro se recalcula. La hoja Tasas guarda los datos crudos de la Superfinanciera con la fecha y la hora de la consulta, que es el soporte de cada cifra. Simulación tiene el cálculo de las 25 entidades en fórmulas, no en valores pegados. Flujo_Mejor muestra el flujo de caja de la mejor opción con la misma validación del profesor: la suma de los flujos descontados a la TIR da cero.</w:t>
      </w:r>
    </w:p>
    <w:p>
      <w:pPr>
        <w:spacing w:after="160" w:line="288" w:lineRule="auto"/>
      </w:pPr>
      <w:r>
        <w:t>Y la hoja Fuentes documenta de dónde salió cada dato. Cualquiera de nosotros puede seguir el rastro de una cifra hasta su origen.</w:t>
      </w:r>
    </w:p>
    <w:p>
      <w:pPr>
        <w:pStyle w:val="Heading2"/>
      </w:pPr>
      <w:r>
        <w:rPr>
          <w:color w:val="6D28D9"/>
        </w:rPr>
        <w:t>Diapositiva 20 · CDTLive: un informe que no puede inventar cifras</w:t>
      </w:r>
    </w:p>
    <w:p>
      <w:r>
        <w:rPr>
          <w:color w:val="6B6880"/>
          <w:sz w:val="20"/>
        </w:rPr>
        <w:t>Tiempo: 1,5 min</w:t>
      </w:r>
    </w:p>
    <w:p>
      <w:pPr>
        <w:spacing w:after="160" w:line="288" w:lineRule="auto"/>
      </w:pPr>
      <w:r>
        <w:t>La hoja Controles, a la derecha, hace diez revisiones cada vez que se abre el archivo. Revisa que la suma de flujos descontados sea cero, que la TIR coincida con la rentabilidad de la tabla, que el plazo sea múltiplo del periodo de pago, que no haya errores de fórmula, que las tasas estén entre 0 % y 25 %, que haya al menos diez entidades con dato, que el dato tenga menos de siete días y que el monto quepa en la cobertura de Fogafín. El último control compara el Excel contra un cálculo hecho por separado en Python, y la diferencia es de cero pesos. Si algún control falla, el estado del modelo cambia a Revisar.</w:t>
      </w:r>
    </w:p>
    <w:p>
      <w:pPr>
        <w:spacing w:after="160" w:line="288" w:lineRule="auto"/>
      </w:pPr>
      <w:r>
        <w:t>El informe tiene nueve secciones fijas. El agente solo escribe cuatro párrafos cortos de interpretación, y si en ellos usa una cifra que no está en las tablas, el programa la rechaza y no guarda el archivo.</w:t>
      </w:r>
    </w:p>
    <w:p>
      <w:r>
        <w:rPr>
          <w:i/>
          <w:color w:val="6B6880"/>
        </w:rPr>
        <w:t>[Luis continúa con la parte 4: RiskLive (diapositivas 21 y 22).]</w:t>
      </w:r>
    </w:p>
    <w:p>
      <w:pPr>
        <w:pStyle w:val="Heading2"/>
      </w:pPr>
      <w:r>
        <w:rPr>
          <w:color w:val="6D28D9"/>
        </w:rPr>
        <w:t>Diapositiva 23 · RiskLive: el mismo modelo, con otras preguntas</w:t>
      </w:r>
    </w:p>
    <w:p>
      <w:r>
        <w:rPr>
          <w:color w:val="6B6880"/>
          <w:sz w:val="20"/>
        </w:rPr>
        <w:t>Tiempo: 1,5 min</w:t>
      </w:r>
    </w:p>
    <w:p>
      <w:r>
        <w:rPr>
          <w:i/>
          <w:color w:val="6B6880"/>
        </w:rPr>
        <w:t>[Luis termina la diapositiva 22 y le da la palabra.]</w:t>
      </w:r>
    </w:p>
    <w:p>
      <w:pPr>
        <w:spacing w:after="160" w:line="288" w:lineRule="auto"/>
      </w:pPr>
      <w:r>
        <w:t>Esta tabla muestra cómo el Model Risk del profesor se convierte en un modelo para una persona.</w:t>
      </w:r>
    </w:p>
    <w:p>
      <w:pPr>
        <w:spacing w:after="160" w:line="288" w:lineRule="auto"/>
      </w:pPr>
      <w:r>
        <w:t>La tabla MBASE es un libro de caja, y en RiskLive se conserva igual: el saldo de cada mes es el saldo inicial, más los intereses, más los aportes, menos los retiros. El ahorro inicial ocupa el lugar de la inversión inicial, y el aporte mensual el de la cuota.</w:t>
      </w:r>
    </w:p>
    <w:p>
      <w:pPr>
        <w:spacing w:after="160" w:line="288" w:lineRule="auto"/>
      </w:pPr>
      <w:r>
        <w:t>Al final del horizonte se liquida todo, así que el último saldo tiene que quedar en cero, igual que en el modelo del curso. Si no queda en cero, hay un error, y el control lo marca.</w:t>
      </w:r>
    </w:p>
    <w:p>
      <w:pPr>
        <w:spacing w:after="160" w:line="288" w:lineRule="auto"/>
      </w:pPr>
      <w:r>
        <w:t>El valor presente neto del proyecto pasa a ser el valor final del ahorro en pesos de hoy, y la probabilidad de que el VPN sea negativo pasa a ser la probabilidad de no llegar a la meta. Las series históricas de la hoja Fundamentales se complementan con datos del Banco de la República y del DANE consultados el día de la corrida.</w:t>
      </w:r>
    </w:p>
    <w:p>
      <w:r>
        <w:rPr>
          <w:i/>
          <w:color w:val="6B6880"/>
        </w:rPr>
        <w:t>[Luis presenta RiskLive y la parte 5 completa (diapositivas 24 a 36).]</w:t>
      </w:r>
    </w:p>
    <w:p>
      <w:pPr>
        <w:pStyle w:val="Heading2"/>
      </w:pPr>
      <w:r>
        <w:rPr>
          <w:color w:val="6D28D9"/>
        </w:rPr>
        <w:t>Diapositiva 37 · Por qué se puede confiar</w:t>
      </w:r>
    </w:p>
    <w:p>
      <w:r>
        <w:rPr>
          <w:color w:val="6B6880"/>
          <w:sz w:val="20"/>
        </w:rPr>
        <w:t>Tiempo: 1,5 min</w:t>
      </w:r>
    </w:p>
    <w:p>
      <w:r>
        <w:rPr>
          <w:i/>
          <w:color w:val="6B6880"/>
        </w:rPr>
        <w:t>[Luis termina la diapositiva 36 y dice: "Leydis cierra con lo más importante".]</w:t>
      </w:r>
    </w:p>
    <w:p>
      <w:pPr>
        <w:spacing w:after="160" w:line="288" w:lineRule="auto"/>
      </w:pPr>
      <w:r>
        <w:t>Para cerrar, cuatro números. Las dos skills tienen 72 pruebas automáticas. Los dos Excel tienen 22 controles que se revisan solos. La diferencia entre el Excel y el cálculo independiente en Python es de cero pesos. Y el número de cifras inventadas que el sistema deja pasar es cero.</w:t>
      </w:r>
    </w:p>
    <w:p>
      <w:pPr>
        <w:spacing w:after="160" w:line="288" w:lineRule="auto"/>
      </w:pPr>
      <w:r>
        <w:t>Un agente no reemplaza al contador ni al asesor. Hace más rápido el trabajo repetitivo, con fuentes oficiales y cálculos que se pueden revisar, y deja al profesional lo que requiere criterio.</w:t>
      </w:r>
    </w:p>
    <w:p>
      <w:pPr>
        <w:spacing w:after="160" w:line="288" w:lineRule="auto"/>
      </w:pPr>
      <w:r>
        <w:t>Por eso toda conversación empieza con la advertencia del manifiesto: el agente es un asistente de educación financiera y lo que comparte no constituye asesoría financiera, de inversión, tributaria ni legal.</w:t>
      </w:r>
    </w:p>
    <w:p>
      <w:pPr>
        <w:spacing w:after="160" w:line="288" w:lineRule="auto"/>
      </w:pPr>
      <w:r>
        <w:t>Muchas gracias.</w:t>
      </w:r>
    </w:p>
    <w:p>
      <w:r>
        <w:rPr>
          <w:i/>
          <w:color w:val="6B6880"/>
        </w:rPr>
        <w:t>[Luis pasa a la diapositiva 38 y abre las preguntas.]</w:t>
      </w:r>
    </w:p>
    <w:p>
      <w:pPr>
        <w:pStyle w:val="Heading2"/>
      </w:pPr>
      <w:r>
        <w:t>Notas para Leydis antes de exponer</w:t>
      </w:r>
    </w:p>
    <w:p>
      <w:pPr>
        <w:pStyle w:val="ListBullet"/>
      </w:pPr>
      <w:r>
        <w:t>Declaración de Andrés: en el caso de estudio una fila dice que no está obligado por ingresos y el cierre dice que sí debe declarar. Con 62,4 millones de ingreso bruto está por debajo del tope de 1.400 UVT (73,3 millones), así que el guion usa la primera. Conviene corregir el cierre del Excel.</w:t>
      </w:r>
    </w:p>
    <w:p>
      <w:pPr>
        <w:pStyle w:val="ListBullet"/>
      </w:pPr>
      <w:r>
        <w:t>Tope de AFC y pensión voluntaria: 3.800 UVT son unos 199 millones, pero la hoja Tributario muestra 19.902.120 pesos, que equivale a 380 UVT. El guion dice solo "3.800 UVT".</w:t>
      </w:r>
    </w:p>
    <w:p>
      <w:pPr>
        <w:pStyle w:val="ListBullet"/>
      </w:pPr>
      <w:r>
        <w:t>Retención de las cuentas de ahorro: el manifiesto dice 7 % (T-13), pero CDTLive usa 4 % al comparar el CDT con el ahorro. Si alguien pregunta, la respuesta es que es un ajuste pendiente en la skill.</w:t>
      </w:r>
    </w:p>
    <w:p>
      <w:pPr>
        <w:pStyle w:val="ListBullet"/>
      </w:pPr>
      <w:r>
        <w:t>Cifras de apoyo por si hay preguntas: SMMLV 2026 $1.750.905; interés bancario corriente de consumo en septiembre 19,49 % EA; componente inflacionario no gravado de rendimientos financieros AG 2025: 55,43 %.</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