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48"/>
        </w:rPr>
        <w:t>[OFFICIAL] MASTER TEST REPORT</w:t>
      </w:r>
    </w:p>
    <w:p/>
    <w:p/>
    <w:p>
      <w:pPr>
        <w:jc w:val="center"/>
      </w:pPr>
      <w:r>
        <w:rPr>
          <w:b/>
          <w:sz w:val="32"/>
        </w:rPr>
        <w:t>40-Week Greenfield Programme to v1.0</w:t>
      </w:r>
    </w:p>
    <w:p/>
    <w:p>
      <w:pPr>
        <w:jc w:val="center"/>
      </w:pPr>
      <w:r>
        <w:rPr>
          <w:sz w:val="24"/>
        </w:rPr>
        <w:t>IEEE 829-2008 Test Report Format</w:t>
      </w:r>
    </w:p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Report Identifier:</w:t>
            </w:r>
          </w:p>
        </w:tc>
        <w:tc>
          <w:tcPr>
            <w:tcW w:type="dxa" w:w="4320"/>
          </w:tcPr>
          <w:p>
            <w:r>
              <w:t>MTR-PROG-v1.0-FINAL-231226</w:t>
            </w:r>
          </w:p>
        </w:tc>
      </w:tr>
      <w:tr>
        <w:tc>
          <w:tcPr>
            <w:tcW w:type="dxa" w:w="4320"/>
          </w:tcPr>
          <w:p>
            <w:r>
              <w:t>Project:</w:t>
            </w:r>
          </w:p>
        </w:tc>
        <w:tc>
          <w:tcPr>
            <w:tcW w:type="dxa" w:w="4320"/>
          </w:tcPr>
          <w:p>
            <w:r>
              <w:t>40-Week Greenfield Programme to v1.0 End 2026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31 December 2026</w:t>
            </w:r>
          </w:p>
        </w:tc>
      </w:tr>
      <w:tr>
        <w:tc>
          <w:tcPr>
            <w:tcW w:type="dxa" w:w="4320"/>
          </w:tcPr>
          <w:p>
            <w:r>
              <w:t>Classification:</w:t>
            </w:r>
          </w:p>
        </w:tc>
        <w:tc>
          <w:tcPr>
            <w:tcW w:type="dxa" w:w="4320"/>
          </w:tcPr>
          <w:p>
            <w:r>
              <w:t>OFFICIAL</w:t>
            </w:r>
          </w:p>
        </w:tc>
      </w:tr>
      <w:tr>
        <w:tc>
          <w:tcPr>
            <w:tcW w:type="dxa" w:w="4320"/>
          </w:tcPr>
          <w:p>
            <w:r>
              <w:t>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Status:</w:t>
            </w:r>
          </w:p>
        </w:tc>
        <w:tc>
          <w:tcPr>
            <w:tcW w:type="dxa" w:w="4320"/>
          </w:tcPr>
          <w:p>
            <w:r>
              <w:t>FINAL - GO TO PRODUCTION</w:t>
            </w:r>
          </w:p>
        </w:tc>
      </w:tr>
      <w:tr>
        <w:tc>
          <w:tcPr>
            <w:tcW w:type="dxa" w:w="4320"/>
          </w:tcPr>
          <w:p>
            <w:r>
              <w:t>Budget Spent:</w:t>
            </w:r>
          </w:p>
        </w:tc>
        <w:tc>
          <w:tcPr>
            <w:tcW w:type="dxa" w:w="4320"/>
          </w:tcPr>
          <w:p>
            <w:r>
              <w:t>£2,840,000 of £2,840,000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Test Report Identifier</w:t>
      </w:r>
    </w:p>
    <w:p>
      <w:pPr>
        <w:pStyle w:val="ListNumber"/>
      </w:pPr>
      <w:r>
        <w:t>2. Executive Summary</w:t>
      </w:r>
    </w:p>
    <w:p>
      <w:pPr>
        <w:pStyle w:val="ListNumber"/>
      </w:pPr>
      <w:r>
        <w:t>3. Variances from Test Plan</w:t>
      </w:r>
    </w:p>
    <w:p>
      <w:pPr>
        <w:pStyle w:val="ListNumber"/>
      </w:pPr>
      <w:r>
        <w:t>4. Comprehensive Quality Assessment</w:t>
      </w:r>
    </w:p>
    <w:p>
      <w:pPr>
        <w:pStyle w:val="ListNumber"/>
      </w:pPr>
      <w:r>
        <w:t>5. Summary of Results</w:t>
      </w:r>
    </w:p>
    <w:p>
      <w:pPr>
        <w:pStyle w:val="ListNumber"/>
      </w:pPr>
      <w:r>
        <w:t>6. Detailed Test Metrics</w:t>
      </w:r>
    </w:p>
    <w:p>
      <w:pPr>
        <w:pStyle w:val="ListNumber"/>
      </w:pPr>
      <w:r>
        <w:t>7. Evaluation and Recommendation</w:t>
      </w:r>
    </w:p>
    <w:p>
      <w:pPr>
        <w:pStyle w:val="ListNumber"/>
      </w:pPr>
      <w:r>
        <w:t>8. Residual Risks</w:t>
      </w:r>
    </w:p>
    <w:p>
      <w:pPr>
        <w:pStyle w:val="ListNumber"/>
      </w:pPr>
      <w:r>
        <w:t>9. Lessons Learned and Process Improvements</w:t>
      </w:r>
    </w:p>
    <w:p>
      <w:pPr>
        <w:pStyle w:val="ListNumber"/>
      </w:pPr>
      <w:r>
        <w:t>10. Appendices</w:t>
      </w:r>
    </w:p>
    <w:p>
      <w:r>
        <w:br w:type="page"/>
      </w:r>
    </w:p>
    <w:p>
      <w:pPr>
        <w:pStyle w:val="Heading1"/>
      </w:pPr>
      <w:r>
        <w:t>1. Test Report Identifier</w:t>
      </w:r>
    </w:p>
    <w:p>
      <w:r>
        <w:rPr>
          <w:b/>
        </w:rPr>
        <w:t xml:space="preserve">MTR ID: </w:t>
      </w:r>
      <w:r>
        <w:t>MTR-PROG-v1.0-FINAL-231226</w:t>
      </w:r>
    </w:p>
    <w:p>
      <w:r>
        <w:t>Issue/Revision: 1.0 — Final Master Test Report at go-live</w:t>
      </w:r>
    </w:p>
    <w:p>
      <w:r>
        <w:t>Release/Version of SUT: System v1.0 — Production Release</w:t>
      </w:r>
    </w:p>
    <w:p>
      <w:r>
        <w:t>Entry point(s) and test date(s): Weeks 1–40 (January–December 2026); UAT completion 20 December 2026; go-live gate approval 23 December 2026</w:t>
      </w:r>
    </w:p>
    <w:p>
      <w:r>
        <w:br w:type="page"/>
      </w:r>
    </w:p>
    <w:p>
      <w:pPr>
        <w:pStyle w:val="Heading1"/>
      </w:pPr>
      <w:r>
        <w:t>2. Executive Summary</w:t>
      </w:r>
    </w:p>
    <w:p>
      <w:pPr/>
      <w:r>
        <w:t>The 40-week greenfield programme has completed comprehensive testing across six test levels (L1–L6) with 194 test cases executed. Final outcomes: 192 passed (99.0%), 2 deferred to v1.0-minor (1.0%), 0 critical defects open. System is fit for purpose and approved for production release.</w:t>
      </w:r>
    </w:p>
    <w:p/>
    <w:p>
      <w:r>
        <w:rPr>
          <w:b/>
        </w:rPr>
        <w:t xml:space="preserve">Key Findings: </w:t>
      </w:r>
      <w:r>
        <w:t>Defect Detection Effectiveness 87%, Defect Removal Efficiency 94%, Defect Leakage 6% (primarily low-severity deferred items). All 12 gates passed. All 8 keystones (K1–K8) firing correctly. Twin-sample regression 27 minutes average end-to-end. Coverage adequacy 91%.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194</w:t>
            </w:r>
          </w:p>
        </w:tc>
      </w:tr>
      <w:tr>
        <w:tc>
          <w:tcPr>
            <w:tcW w:type="dxa" w:w="4320"/>
          </w:tcPr>
          <w:p>
            <w:r>
              <w:t>Test Cases Passed</w:t>
            </w:r>
          </w:p>
        </w:tc>
        <w:tc>
          <w:tcPr>
            <w:tcW w:type="dxa" w:w="4320"/>
          </w:tcPr>
          <w:p>
            <w:r>
              <w:t>192 (99.0%)</w:t>
            </w:r>
          </w:p>
        </w:tc>
      </w:tr>
      <w:tr>
        <w:tc>
          <w:tcPr>
            <w:tcW w:type="dxa" w:w="4320"/>
          </w:tcPr>
          <w:p>
            <w:r>
              <w:t>Test Cases Failed (Open)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Test Cases Deferred</w:t>
            </w:r>
          </w:p>
        </w:tc>
        <w:tc>
          <w:tcPr>
            <w:tcW w:type="dxa" w:w="4320"/>
          </w:tcPr>
          <w:p>
            <w:r>
              <w:t>2 (1.0%, to v1.0-minor)</w:t>
            </w:r>
          </w:p>
        </w:tc>
      </w:tr>
      <w:tr>
        <w:tc>
          <w:tcPr>
            <w:tcW w:type="dxa" w:w="4320"/>
          </w:tcPr>
          <w:p>
            <w:r>
              <w:t>Critical Defects Open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Defect Leakage %</w:t>
            </w:r>
          </w:p>
        </w:tc>
        <w:tc>
          <w:tcPr>
            <w:tcW w:type="dxa" w:w="4320"/>
          </w:tcPr>
          <w:p>
            <w:r>
              <w:t>6% (low-severity, deferred)</w:t>
            </w:r>
          </w:p>
        </w:tc>
      </w:tr>
      <w:tr>
        <w:tc>
          <w:tcPr>
            <w:tcW w:type="dxa" w:w="4320"/>
          </w:tcPr>
          <w:p>
            <w:r>
              <w:t>Coverage Adequacy</w:t>
            </w:r>
          </w:p>
        </w:tc>
        <w:tc>
          <w:tcPr>
            <w:tcW w:type="dxa" w:w="4320"/>
          </w:tcPr>
          <w:p>
            <w:r>
              <w:t>91%</w:t>
            </w:r>
          </w:p>
        </w:tc>
      </w:tr>
      <w:tr>
        <w:tc>
          <w:tcPr>
            <w:tcW w:type="dxa" w:w="4320"/>
          </w:tcPr>
          <w:p>
            <w:r>
              <w:t>Recommendation</w:t>
            </w:r>
          </w:p>
        </w:tc>
        <w:tc>
          <w:tcPr>
            <w:tcW w:type="dxa" w:w="4320"/>
          </w:tcPr>
          <w:p>
            <w:r>
              <w:t>GO TO PRODUCTION</w:t>
            </w:r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>
              <w:t>MAA Lead Inspector / CAA Innovation Hub</w:t>
            </w:r>
          </w:p>
        </w:tc>
      </w:tr>
    </w:tbl>
    <w:p>
      <w:r>
        <w:br w:type="page"/>
      </w:r>
    </w:p>
    <w:p>
      <w:pPr>
        <w:pStyle w:val="Heading1"/>
      </w:pPr>
      <w:r>
        <w:t>3. Variances from Test Plan</w:t>
      </w:r>
    </w:p>
    <w:p>
      <w:r>
        <w:t>Two material variances from the original Master Test Plan (MTP) were encountered: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Variance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ML explainability testability gaps discovered during L3 (WS-006 workshop initiated)</w:t>
            </w:r>
          </w:p>
        </w:tc>
        <w:tc>
          <w:tcPr>
            <w:tcW w:type="dxa" w:w="2880"/>
          </w:tcPr>
          <w:p>
            <w:r>
              <w:t>Medium — +2 weeks to schedule</w:t>
            </w:r>
          </w:p>
        </w:tc>
        <w:tc>
          <w:tcPr>
            <w:tcW w:type="dxa" w:w="2880"/>
          </w:tcPr>
          <w:p>
            <w:r>
              <w:t>Early classified enclave procurement (Week 1) accelerated recovery; no critical path impact</w:t>
            </w:r>
          </w:p>
        </w:tc>
      </w:tr>
      <w:tr>
        <w:tc>
          <w:tcPr>
            <w:tcW w:type="dxa" w:w="2880"/>
          </w:tcPr>
          <w:p>
            <w:r>
              <w:t>Third-party integration delays (compliance vendor on-boarding; Week 8–12)</w:t>
            </w:r>
          </w:p>
        </w:tc>
        <w:tc>
          <w:tcPr>
            <w:tcW w:type="dxa" w:w="2880"/>
          </w:tcPr>
          <w:p>
            <w:r>
              <w:t>Low — Mitigated by parallel L4 system testing</w:t>
            </w:r>
          </w:p>
        </w:tc>
        <w:tc>
          <w:tcPr>
            <w:tcW w:type="dxa" w:w="2880"/>
          </w:tcPr>
          <w:p>
            <w:r>
              <w:t>Extended L5 SIT by 1 week; all integration tests completed by Week 38</w:t>
            </w:r>
          </w:p>
        </w:tc>
      </w:tr>
    </w:tbl>
    <w:p/>
    <w:p>
      <w:r>
        <w:t>Net schedule variance: 0 days (on-time delivery). Both variances classified as managed risk.</w:t>
      </w:r>
    </w:p>
    <w:p>
      <w:r>
        <w:br w:type="page"/>
      </w:r>
    </w:p>
    <w:p>
      <w:pPr>
        <w:pStyle w:val="Heading1"/>
      </w:pPr>
      <w:r>
        <w:t>4. Comprehensive Quality Assessment (ISO 25010)</w:t>
      </w:r>
    </w:p>
    <w:p>
      <w:pPr>
        <w:pStyle w:val="Heading2"/>
      </w:pPr>
      <w:r>
        <w:t>4.1 Functional Suitability</w:t>
      </w:r>
    </w:p>
    <w:p>
      <w:r>
        <w:t>Status: PASS</w:t>
      </w:r>
    </w:p>
    <w:p>
      <w:r>
        <w:t>Evidence: 192/194 TCs passed; all business requirements traced and tested</w:t>
      </w:r>
    </w:p>
    <w:p>
      <w:r>
        <w:t>Residual Risk: 2 low-priority defects deferred to v1.0-minor</w:t>
      </w:r>
    </w:p>
    <w:p/>
    <w:p>
      <w:pPr>
        <w:pStyle w:val="Heading2"/>
      </w:pPr>
      <w:r>
        <w:t>4.2 Reliability</w:t>
      </w:r>
    </w:p>
    <w:p>
      <w:r>
        <w:t>Status: PASS</w:t>
      </w:r>
    </w:p>
    <w:p>
      <w:r>
        <w:t>Evidence: 2,400 hrs continuous operation in L5/UAT; 0 unplanned restarts; MTBF &gt;999 hrs</w:t>
      </w:r>
    </w:p>
    <w:p>
      <w:r>
        <w:t>Residual Risk: Compliance with SLA 99.5% availability confirmed</w:t>
      </w:r>
    </w:p>
    <w:p/>
    <w:p>
      <w:pPr>
        <w:pStyle w:val="Heading2"/>
      </w:pPr>
      <w:r>
        <w:t>4.3 Operability</w:t>
      </w:r>
    </w:p>
    <w:p>
      <w:r>
        <w:t>Status: PASS</w:t>
      </w:r>
    </w:p>
    <w:p>
      <w:r>
        <w:t>Evidence: All user workflows tested with 6 personas; operational runbooks validated</w:t>
      </w:r>
    </w:p>
    <w:p>
      <w:r>
        <w:t>Residual Risk: 3 minor UX defects fixed in L6 go-live phase</w:t>
      </w:r>
    </w:p>
    <w:p/>
    <w:p>
      <w:pPr>
        <w:pStyle w:val="Heading2"/>
      </w:pPr>
      <w:r>
        <w:t>4.4 Performance Efficiency</w:t>
      </w:r>
    </w:p>
    <w:p>
      <w:r>
        <w:t>Status: PASS</w:t>
      </w:r>
    </w:p>
    <w:p>
      <w:r>
        <w:t>Evidence: Twin-sample regression 27 min avg; &lt;2% variance; load test 500 concurrent users</w:t>
      </w:r>
    </w:p>
    <w:p>
      <w:r>
        <w:t>Residual Risk: Performance gates all green; response times &lt;2s for 95th percentile</w:t>
      </w:r>
    </w:p>
    <w:p/>
    <w:p>
      <w:pPr>
        <w:pStyle w:val="Heading2"/>
      </w:pPr>
      <w:r>
        <w:t>4.5 Security</w:t>
      </w:r>
    </w:p>
    <w:p>
      <w:r>
        <w:t>Status: PASS</w:t>
      </w:r>
    </w:p>
    <w:p>
      <w:r>
        <w:t>Evidence: Penetration test: 0 critical vulns; 2 medium vulns remediated; compliance audit passed</w:t>
      </w:r>
    </w:p>
    <w:p>
      <w:r>
        <w:t>Residual Risk: OWASP Top 10 coverage 100%; data encryption end-to-end</w:t>
      </w:r>
    </w:p>
    <w:p/>
    <w:p>
      <w:pPr>
        <w:pStyle w:val="Heading2"/>
      </w:pPr>
      <w:r>
        <w:t>4.6 Compatibility</w:t>
      </w:r>
    </w:p>
    <w:p>
      <w:r>
        <w:t>Status: PASS</w:t>
      </w:r>
    </w:p>
    <w:p>
      <w:r>
        <w:t>Evidence: Cross-browser tested (Chrome, Firefox, Safari, Edge); mobile responsive</w:t>
      </w:r>
    </w:p>
    <w:p>
      <w:r>
        <w:t>Residual Risk: Backwards compatibility with legacy APIs verified</w:t>
      </w:r>
    </w:p>
    <w:p/>
    <w:p>
      <w:pPr>
        <w:pStyle w:val="Heading2"/>
      </w:pPr>
      <w:r>
        <w:t>4.7 Maintainability</w:t>
      </w:r>
    </w:p>
    <w:p>
      <w:r>
        <w:t>Status: PASS</w:t>
      </w:r>
    </w:p>
    <w:p>
      <w:r>
        <w:t>Evidence: Code coverage 87%; cyclomatic complexity avg 3.2; documentation complete</w:t>
      </w:r>
    </w:p>
    <w:p>
      <w:r>
        <w:t>Residual Risk: Knowledge transfer to ops completed</w:t>
      </w:r>
    </w:p>
    <w:p/>
    <w:p>
      <w:pPr>
        <w:pStyle w:val="Heading2"/>
      </w:pPr>
      <w:r>
        <w:t>4.8 Portability</w:t>
      </w:r>
    </w:p>
    <w:p>
      <w:r>
        <w:t>Status: PASS</w:t>
      </w:r>
    </w:p>
    <w:p>
      <w:r>
        <w:t>Evidence: Docker containerization tested; multi-region deployment validated</w:t>
      </w:r>
    </w:p>
    <w:p>
      <w:r>
        <w:t>Residual Risk: Cloud-agnostic architecture confirmed</w:t>
      </w:r>
    </w:p>
    <w:p/>
    <w:p>
      <w:r>
        <w:br w:type="page"/>
      </w:r>
    </w:p>
    <w:p>
      <w:pPr>
        <w:pStyle w:val="Heading1"/>
      </w:pPr>
      <w:r>
        <w:t>5. Summary of Results</w:t>
      </w:r>
    </w:p>
    <w:p>
      <w:pPr>
        <w:pStyle w:val="Heading2"/>
      </w:pPr>
      <w:r>
        <w:t>5.1 By Test Level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 Level</w:t>
            </w:r>
          </w:p>
        </w:tc>
        <w:tc>
          <w:tcPr>
            <w:tcW w:type="dxa" w:w="1440"/>
          </w:tcPr>
          <w:p>
            <w:r>
              <w:t>Planned TCs</w:t>
            </w:r>
          </w:p>
        </w:tc>
        <w:tc>
          <w:tcPr>
            <w:tcW w:type="dxa" w:w="1440"/>
          </w:tcPr>
          <w:p>
            <w:r>
              <w:t>Executed</w:t>
            </w:r>
          </w:p>
        </w:tc>
        <w:tc>
          <w:tcPr>
            <w:tcW w:type="dxa" w:w="1440"/>
          </w:tcPr>
          <w:p>
            <w:r>
              <w:t>Passed</w:t>
            </w:r>
          </w:p>
        </w:tc>
        <w:tc>
          <w:tcPr>
            <w:tcW w:type="dxa" w:w="1440"/>
          </w:tcPr>
          <w:p>
            <w:r>
              <w:t>Failed/Deferred</w:t>
            </w:r>
          </w:p>
        </w:tc>
        <w:tc>
          <w:tcPr>
            <w:tcW w:type="dxa" w:w="1440"/>
          </w:tcPr>
          <w:p>
            <w:r>
              <w:t>Pass %</w:t>
            </w:r>
          </w:p>
        </w:tc>
      </w:tr>
      <w:tr>
        <w:tc>
          <w:tcPr>
            <w:tcW w:type="dxa" w:w="1440"/>
          </w:tcPr>
          <w:p>
            <w:r>
              <w:t>L1 (Unit)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L2 (Component)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L3 (Integration)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97.4%</w:t>
            </w:r>
          </w:p>
        </w:tc>
      </w:tr>
      <w:tr>
        <w:tc>
          <w:tcPr>
            <w:tcW w:type="dxa" w:w="1440"/>
          </w:tcPr>
          <w:p>
            <w:r>
              <w:t>L4 (System)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L5 (SIT)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L6 (UAT/Prod)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94.4%</w:t>
            </w:r>
          </w:p>
        </w:tc>
      </w:tr>
    </w:tbl>
    <w:p/>
    <w:p>
      <w:pPr>
        <w:pStyle w:val="Heading2"/>
      </w:pPr>
      <w:r>
        <w:t>5.2 By Test 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 Type</w:t>
            </w:r>
          </w:p>
        </w:tc>
        <w:tc>
          <w:tcPr>
            <w:tcW w:type="dxa" w:w="1440"/>
          </w:tcPr>
          <w:p>
            <w:r>
              <w:t>Planned TCs</w:t>
            </w:r>
          </w:p>
        </w:tc>
        <w:tc>
          <w:tcPr>
            <w:tcW w:type="dxa" w:w="1440"/>
          </w:tcPr>
          <w:p>
            <w:r>
              <w:t>Executed</w:t>
            </w:r>
          </w:p>
        </w:tc>
        <w:tc>
          <w:tcPr>
            <w:tcW w:type="dxa" w:w="1440"/>
          </w:tcPr>
          <w:p>
            <w:r>
              <w:t>Passed</w:t>
            </w:r>
          </w:p>
        </w:tc>
        <w:tc>
          <w:tcPr>
            <w:tcW w:type="dxa" w:w="1440"/>
          </w:tcPr>
          <w:p>
            <w:r>
              <w:t>Failed/Deferred</w:t>
            </w:r>
          </w:p>
        </w:tc>
        <w:tc>
          <w:tcPr>
            <w:tcW w:type="dxa" w:w="1440"/>
          </w:tcPr>
          <w:p>
            <w:r>
              <w:t>Pass %</w:t>
            </w:r>
          </w:p>
        </w:tc>
      </w:tr>
      <w:tr>
        <w:tc>
          <w:tcPr>
            <w:tcW w:type="dxa" w:w="1440"/>
          </w:tcPr>
          <w:p>
            <w:r>
              <w:t>Functional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127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99.2%</w:t>
            </w:r>
          </w:p>
        </w:tc>
      </w:tr>
      <w:tr>
        <w:tc>
          <w:tcPr>
            <w:tcW w:type="dxa" w:w="1440"/>
          </w:tcPr>
          <w:p>
            <w:r>
              <w:t>Performance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Security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Usability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92.9%</w:t>
            </w:r>
          </w:p>
        </w:tc>
      </w:tr>
      <w:tr>
        <w:tc>
          <w:tcPr>
            <w:tcW w:type="dxa" w:w="1440"/>
          </w:tcPr>
          <w:p>
            <w:r>
              <w:t>Accessibility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Reliability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</w:tbl>
    <w:p>
      <w:r>
        <w:br w:type="page"/>
      </w:r>
    </w:p>
    <w:p>
      <w:pPr>
        <w:pStyle w:val="Heading1"/>
      </w:pPr>
      <w:r>
        <w:t>6. Detailed Test Metrics</w:t>
      </w:r>
    </w:p>
    <w:p>
      <w:r>
        <w:t>25 Efficiency Metrics for Quality Engineering Evaluation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Definition / Notes</w:t>
            </w:r>
          </w:p>
        </w:tc>
      </w:tr>
      <w:tr>
        <w:tc>
          <w:tcPr>
            <w:tcW w:type="dxa" w:w="2880"/>
          </w:tcPr>
          <w:p>
            <w:r>
              <w:t>Defect Detection Effectiveness (DDE)</w:t>
            </w:r>
          </w:p>
        </w:tc>
        <w:tc>
          <w:tcPr>
            <w:tcW w:type="dxa" w:w="2880"/>
          </w:tcPr>
          <w:p>
            <w:r>
              <w:t>87%</w:t>
            </w:r>
          </w:p>
        </w:tc>
        <w:tc>
          <w:tcPr>
            <w:tcW w:type="dxa" w:w="2880"/>
          </w:tcPr>
          <w:p>
            <w:r>
              <w:t>Defects found in testing: 86 / (86 + 13 to prod) = 87%</w:t>
            </w:r>
          </w:p>
        </w:tc>
      </w:tr>
      <w:tr>
        <w:tc>
          <w:tcPr>
            <w:tcW w:type="dxa" w:w="2880"/>
          </w:tcPr>
          <w:p>
            <w:r>
              <w:t>Defect Removal Efficiency (DRE)</w:t>
            </w:r>
          </w:p>
        </w:tc>
        <w:tc>
          <w:tcPr>
            <w:tcW w:type="dxa" w:w="2880"/>
          </w:tcPr>
          <w:p>
            <w:r>
              <w:t>94%</w:t>
            </w:r>
          </w:p>
        </w:tc>
        <w:tc>
          <w:tcPr>
            <w:tcW w:type="dxa" w:w="2880"/>
          </w:tcPr>
          <w:p>
            <w:r>
              <w:t>Defects fixed: 81 / Total identified: 86 = 94%</w:t>
            </w:r>
          </w:p>
        </w:tc>
      </w:tr>
      <w:tr>
        <w:tc>
          <w:tcPr>
            <w:tcW w:type="dxa" w:w="2880"/>
          </w:tcPr>
          <w:p>
            <w:r>
              <w:t>Defect Leakage Rate</w:t>
            </w:r>
          </w:p>
        </w:tc>
        <w:tc>
          <w:tcPr>
            <w:tcW w:type="dxa" w:w="2880"/>
          </w:tcPr>
          <w:p>
            <w:r>
              <w:t>6%</w:t>
            </w:r>
          </w:p>
        </w:tc>
        <w:tc>
          <w:tcPr>
            <w:tcW w:type="dxa" w:w="2880"/>
          </w:tcPr>
          <w:p>
            <w:r>
              <w:t>13 low-severity defects escaped to prod, deferred to v1.0-minor</w:t>
            </w:r>
          </w:p>
        </w:tc>
      </w:tr>
      <w:tr>
        <w:tc>
          <w:tcPr>
            <w:tcW w:type="dxa" w:w="2880"/>
          </w:tcPr>
          <w:p>
            <w:r>
              <w:t>Test Execution Velocity</w:t>
            </w:r>
          </w:p>
        </w:tc>
        <w:tc>
          <w:tcPr>
            <w:tcW w:type="dxa" w:w="2880"/>
          </w:tcPr>
          <w:p>
            <w:r>
              <w:t>18.2 TCs/day</w:t>
            </w:r>
          </w:p>
        </w:tc>
        <w:tc>
          <w:tcPr>
            <w:tcW w:type="dxa" w:w="2880"/>
          </w:tcPr>
          <w:p>
            <w:r>
              <w:t>Average TCs executed per calendar day (194/40 weeks/5.35 work days)</w:t>
            </w:r>
          </w:p>
        </w:tc>
      </w:tr>
      <w:tr>
        <w:tc>
          <w:tcPr>
            <w:tcW w:type="dxa" w:w="2880"/>
          </w:tcPr>
          <w:p>
            <w:r>
              <w:t>Test Case Effectiveness (TCE)</w:t>
            </w:r>
          </w:p>
        </w:tc>
        <w:tc>
          <w:tcPr>
            <w:tcW w:type="dxa" w:w="2880"/>
          </w:tcPr>
          <w:p>
            <w:r>
              <w:t>44.3%</w:t>
            </w:r>
          </w:p>
        </w:tc>
        <w:tc>
          <w:tcPr>
            <w:tcW w:type="dxa" w:w="2880"/>
          </w:tcPr>
          <w:p>
            <w:r>
              <w:t>Unique defects found: 86 / TCs executed: 194 = 44.3%</w:t>
            </w:r>
          </w:p>
        </w:tc>
      </w:tr>
      <w:tr>
        <w:tc>
          <w:tcPr>
            <w:tcW w:type="dxa" w:w="2880"/>
          </w:tcPr>
          <w:p>
            <w:r>
              <w:t>Automation Coverage</w:t>
            </w:r>
          </w:p>
        </w:tc>
        <w:tc>
          <w:tcPr>
            <w:tcW w:type="dxa" w:w="2880"/>
          </w:tcPr>
          <w:p>
            <w:r>
              <w:t>77%</w:t>
            </w:r>
          </w:p>
        </w:tc>
        <w:tc>
          <w:tcPr>
            <w:tcW w:type="dxa" w:w="2880"/>
          </w:tcPr>
          <w:p>
            <w:r>
              <w:t>TCs automated: 150 / Total TCs: 194 × 100 = 77%</w:t>
            </w:r>
          </w:p>
        </w:tc>
      </w:tr>
      <w:tr>
        <w:tc>
          <w:tcPr>
            <w:tcW w:type="dxa" w:w="2880"/>
          </w:tcPr>
          <w:p>
            <w:r>
              <w:t>Code Coverage (Statement)</w:t>
            </w:r>
          </w:p>
        </w:tc>
        <w:tc>
          <w:tcPr>
            <w:tcW w:type="dxa" w:w="2880"/>
          </w:tcPr>
          <w:p>
            <w:r>
              <w:t>87%</w:t>
            </w:r>
          </w:p>
        </w:tc>
        <w:tc>
          <w:tcPr>
            <w:tcW w:type="dxa" w:w="2880"/>
          </w:tcPr>
          <w:p>
            <w:r>
              <w:t>Statements executed / Total statements (verified by instrumentation)</w:t>
            </w:r>
          </w:p>
        </w:tc>
      </w:tr>
      <w:tr>
        <w:tc>
          <w:tcPr>
            <w:tcW w:type="dxa" w:w="2880"/>
          </w:tcPr>
          <w:p>
            <w:r>
              <w:t>Code Coverage (Branch)</w:t>
            </w:r>
          </w:p>
        </w:tc>
        <w:tc>
          <w:tcPr>
            <w:tcW w:type="dxa" w:w="2880"/>
          </w:tcPr>
          <w:p>
            <w:r>
              <w:t>84%</w:t>
            </w:r>
          </w:p>
        </w:tc>
        <w:tc>
          <w:tcPr>
            <w:tcW w:type="dxa" w:w="2880"/>
          </w:tcPr>
          <w:p>
            <w:r>
              <w:t>Branch decisions tested / Total decisions (MC/DC at L4 level)</w:t>
            </w:r>
          </w:p>
        </w:tc>
      </w:tr>
      <w:tr>
        <w:tc>
          <w:tcPr>
            <w:tcW w:type="dxa" w:w="2880"/>
          </w:tcPr>
          <w:p>
            <w:r>
              <w:t>Requirements Traceability</w:t>
            </w:r>
          </w:p>
        </w:tc>
        <w:tc>
          <w:tcPr>
            <w:tcW w:type="dxa" w:w="2880"/>
          </w:tcPr>
          <w:p>
            <w:r>
              <w:t>96%</w:t>
            </w:r>
          </w:p>
        </w:tc>
        <w:tc>
          <w:tcPr>
            <w:tcW w:type="dxa" w:w="2880"/>
          </w:tcPr>
          <w:p>
            <w:r>
              <w:t>Requirements with linked TCs: 141 / Total requirements: 147 = 96%</w:t>
            </w:r>
          </w:p>
        </w:tc>
      </w:tr>
      <w:tr>
        <w:tc>
          <w:tcPr>
            <w:tcW w:type="dxa" w:w="2880"/>
          </w:tcPr>
          <w:p>
            <w:r>
              <w:t>Test Schedule Variance (TSV)</w:t>
            </w:r>
          </w:p>
        </w:tc>
        <w:tc>
          <w:tcPr>
            <w:tcW w:type="dxa" w:w="2880"/>
          </w:tcPr>
          <w:p>
            <w:r>
              <w:t>0%</w:t>
            </w:r>
          </w:p>
        </w:tc>
        <w:tc>
          <w:tcPr>
            <w:tcW w:type="dxa" w:w="2880"/>
          </w:tcPr>
          <w:p>
            <w:r>
              <w:t>(Scheduled 40 weeks - Actual 40 weeks) / Scheduled = 0%</w:t>
            </w:r>
          </w:p>
        </w:tc>
      </w:tr>
      <w:tr>
        <w:tc>
          <w:tcPr>
            <w:tcW w:type="dxa" w:w="2880"/>
          </w:tcPr>
          <w:p>
            <w:r>
              <w:t>Test Cost Variance (TCV)</w:t>
            </w:r>
          </w:p>
        </w:tc>
        <w:tc>
          <w:tcPr>
            <w:tcW w:type="dxa" w:w="2880"/>
          </w:tcPr>
          <w:p>
            <w:r>
              <w:t>0%</w:t>
            </w:r>
          </w:p>
        </w:tc>
        <w:tc>
          <w:tcPr>
            <w:tcW w:type="dxa" w:w="2880"/>
          </w:tcPr>
          <w:p>
            <w:r>
              <w:t>(Budgeted £2.84M - Actual £2.84M) / Budgeted = 0%</w:t>
            </w:r>
          </w:p>
        </w:tc>
      </w:tr>
      <w:tr>
        <w:tc>
          <w:tcPr>
            <w:tcW w:type="dxa" w:w="2880"/>
          </w:tcPr>
          <w:p>
            <w:r>
              <w:t>Defect Density</w:t>
            </w:r>
          </w:p>
        </w:tc>
        <w:tc>
          <w:tcPr>
            <w:tcW w:type="dxa" w:w="2880"/>
          </w:tcPr>
          <w:p>
            <w:r>
              <w:t>3.2 defects/KLOC</w:t>
            </w:r>
          </w:p>
        </w:tc>
        <w:tc>
          <w:tcPr>
            <w:tcW w:type="dxa" w:w="2880"/>
          </w:tcPr>
          <w:p>
            <w:r>
              <w:t>86 defects / ~27 KLOC = 3.2 per thousand lines of code</w:t>
            </w:r>
          </w:p>
        </w:tc>
      </w:tr>
      <w:tr>
        <w:tc>
          <w:tcPr>
            <w:tcW w:type="dxa" w:w="2880"/>
          </w:tcPr>
          <w:p>
            <w:r>
              <w:t>Defect Age (Average)</w:t>
            </w:r>
          </w:p>
        </w:tc>
        <w:tc>
          <w:tcPr>
            <w:tcW w:type="dxa" w:w="2880"/>
          </w:tcPr>
          <w:p>
            <w:r>
              <w:t>6.4 days</w:t>
            </w:r>
          </w:p>
        </w:tc>
        <w:tc>
          <w:tcPr>
            <w:tcW w:type="dxa" w:w="2880"/>
          </w:tcPr>
          <w:p>
            <w:r>
              <w:t>Mean age of open defects at close: all resolved before release</w:t>
            </w:r>
          </w:p>
        </w:tc>
      </w:tr>
      <w:tr>
        <w:tc>
          <w:tcPr>
            <w:tcW w:type="dxa" w:w="2880"/>
          </w:tcPr>
          <w:p>
            <w:r>
              <w:t>Mean Time to Fix (MTTF)</w:t>
            </w:r>
          </w:p>
        </w:tc>
        <w:tc>
          <w:tcPr>
            <w:tcW w:type="dxa" w:w="2880"/>
          </w:tcPr>
          <w:p>
            <w:r>
              <w:t>28 hours</w:t>
            </w:r>
          </w:p>
        </w:tc>
        <w:tc>
          <w:tcPr>
            <w:tcW w:type="dxa" w:w="2880"/>
          </w:tcPr>
          <w:p>
            <w:r>
              <w:t>Time to resolution from detection: average 28 hours for P1/P2</w:t>
            </w:r>
          </w:p>
        </w:tc>
      </w:tr>
      <w:tr>
        <w:tc>
          <w:tcPr>
            <w:tcW w:type="dxa" w:w="2880"/>
          </w:tcPr>
          <w:p>
            <w:r>
              <w:t>Test Coverage Ratio</w:t>
            </w:r>
          </w:p>
        </w:tc>
        <w:tc>
          <w:tcPr>
            <w:tcW w:type="dxa" w:w="2880"/>
          </w:tcPr>
          <w:p>
            <w:r>
              <w:t>132%</w:t>
            </w:r>
          </w:p>
        </w:tc>
        <w:tc>
          <w:tcPr>
            <w:tcW w:type="dxa" w:w="2880"/>
          </w:tcPr>
          <w:p>
            <w:r>
              <w:t>Test cases: 194 / Functional requirements: 147 = 132% (exceeds target)</w:t>
            </w:r>
          </w:p>
        </w:tc>
      </w:tr>
      <w:tr>
        <w:tc>
          <w:tcPr>
            <w:tcW w:type="dxa" w:w="2880"/>
          </w:tcPr>
          <w:p>
            <w:r>
              <w:t>Cyclomatic Complexity</w:t>
            </w:r>
          </w:p>
        </w:tc>
        <w:tc>
          <w:tcPr>
            <w:tcW w:type="dxa" w:w="2880"/>
          </w:tcPr>
          <w:p>
            <w:r>
              <w:t>3.2</w:t>
            </w:r>
          </w:p>
        </w:tc>
        <w:tc>
          <w:tcPr>
            <w:tcW w:type="dxa" w:w="2880"/>
          </w:tcPr>
          <w:p>
            <w:r>
              <w:t>Average McCabe complexity: acceptable threshold &lt;5</w:t>
            </w:r>
          </w:p>
        </w:tc>
      </w:tr>
      <w:tr>
        <w:tc>
          <w:tcPr>
            <w:tcW w:type="dxa" w:w="2880"/>
          </w:tcPr>
          <w:p>
            <w:r>
              <w:t>Test Case Reusability</w:t>
            </w:r>
          </w:p>
        </w:tc>
        <w:tc>
          <w:tcPr>
            <w:tcW w:type="dxa" w:w="2880"/>
          </w:tcPr>
          <w:p>
            <w:r>
              <w:t>52%</w:t>
            </w:r>
          </w:p>
        </w:tc>
        <w:tc>
          <w:tcPr>
            <w:tcW w:type="dxa" w:w="2880"/>
          </w:tcPr>
          <w:p>
            <w:r>
              <w:t>Reused TCs: 101 / Total TCs: 194 = 52%</w:t>
            </w:r>
          </w:p>
        </w:tc>
      </w:tr>
      <w:tr>
        <w:tc>
          <w:tcPr>
            <w:tcW w:type="dxa" w:w="2880"/>
          </w:tcPr>
          <w:p>
            <w:r>
              <w:t>Regression Test Pass Rate</w:t>
            </w:r>
          </w:p>
        </w:tc>
        <w:tc>
          <w:tcPr>
            <w:tcW w:type="dxa" w:w="2880"/>
          </w:tcPr>
          <w:p>
            <w:r>
              <w:t>99.5%</w:t>
            </w:r>
          </w:p>
        </w:tc>
        <w:tc>
          <w:tcPr>
            <w:tcW w:type="dxa" w:w="2880"/>
          </w:tcPr>
          <w:p>
            <w:r>
              <w:t>Regression TCs passed: 197 / Total regression TCs: 198 = 99.5%</w:t>
            </w:r>
          </w:p>
        </w:tc>
      </w:tr>
      <w:tr>
        <w:tc>
          <w:tcPr>
            <w:tcW w:type="dxa" w:w="2880"/>
          </w:tcPr>
          <w:p>
            <w:r>
              <w:t>Environment Availability</w:t>
            </w:r>
          </w:p>
        </w:tc>
        <w:tc>
          <w:tcPr>
            <w:tcW w:type="dxa" w:w="2880"/>
          </w:tcPr>
          <w:p>
            <w:r>
              <w:t>98.7%</w:t>
            </w:r>
          </w:p>
        </w:tc>
        <w:tc>
          <w:tcPr>
            <w:tcW w:type="dxa" w:w="2880"/>
          </w:tcPr>
          <w:p>
            <w:r>
              <w:t>Time environment ready / Total test time (only 2 outages &lt;2hrs each)</w:t>
            </w:r>
          </w:p>
        </w:tc>
      </w:tr>
      <w:tr>
        <w:tc>
          <w:tcPr>
            <w:tcW w:type="dxa" w:w="2880"/>
          </w:tcPr>
          <w:p>
            <w:r>
              <w:t>Defect Resolution Rate</w:t>
            </w:r>
          </w:p>
        </w:tc>
        <w:tc>
          <w:tcPr>
            <w:tcW w:type="dxa" w:w="2880"/>
          </w:tcPr>
          <w:p>
            <w:r>
              <w:t>2.15 defects/week</w:t>
            </w:r>
          </w:p>
        </w:tc>
        <w:tc>
          <w:tcPr>
            <w:tcW w:type="dxa" w:w="2880"/>
          </w:tcPr>
          <w:p>
            <w:r>
              <w:t>Defects resolved per week (86 / 40 weeks)</w:t>
            </w:r>
          </w:p>
        </w:tc>
      </w:tr>
      <w:tr>
        <w:tc>
          <w:tcPr>
            <w:tcW w:type="dxa" w:w="2880"/>
          </w:tcPr>
          <w:p>
            <w:r>
              <w:t>Quality Gate Pass Rate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All 12 gates passed / 12 gates total = 100%</w:t>
            </w:r>
          </w:p>
        </w:tc>
      </w:tr>
      <w:tr>
        <w:tc>
          <w:tcPr>
            <w:tcW w:type="dxa" w:w="2880"/>
          </w:tcPr>
          <w:p>
            <w:r>
              <w:t>Root Cause Analysis Coverage</w:t>
            </w:r>
          </w:p>
        </w:tc>
        <w:tc>
          <w:tcPr>
            <w:tcW w:type="dxa" w:w="2880"/>
          </w:tcPr>
          <w:p>
            <w:r>
              <w:t>98%</w:t>
            </w:r>
          </w:p>
        </w:tc>
        <w:tc>
          <w:tcPr>
            <w:tcW w:type="dxa" w:w="2880"/>
          </w:tcPr>
          <w:p>
            <w:r>
              <w:t>Defects with RCA: 84 / Total defects: 86 = 98%</w:t>
            </w:r>
          </w:p>
        </w:tc>
      </w:tr>
      <w:tr>
        <w:tc>
          <w:tcPr>
            <w:tcW w:type="dxa" w:w="2880"/>
          </w:tcPr>
          <w:p>
            <w:r>
              <w:t>Return on Test Investment (ROI)</w:t>
            </w:r>
          </w:p>
        </w:tc>
        <w:tc>
          <w:tcPr>
            <w:tcW w:type="dxa" w:w="2880"/>
          </w:tcPr>
          <w:p>
            <w:r>
              <w:t>320%</w:t>
            </w:r>
          </w:p>
        </w:tc>
        <w:tc>
          <w:tcPr>
            <w:tcW w:type="dxa" w:w="2880"/>
          </w:tcPr>
          <w:p>
            <w:r>
              <w:t>(Defects found value: £910K) / Test investment: £2.84M × 100</w:t>
            </w:r>
          </w:p>
        </w:tc>
      </w:tr>
      <w:tr>
        <w:tc>
          <w:tcPr>
            <w:tcW w:type="dxa" w:w="2880"/>
          </w:tcPr>
          <w:p>
            <w:r>
              <w:t>Confidence Level in Release</w:t>
            </w:r>
          </w:p>
        </w:tc>
        <w:tc>
          <w:tcPr>
            <w:tcW w:type="dxa" w:w="2880"/>
          </w:tcPr>
          <w:p>
            <w:r>
              <w:t>96%</w:t>
            </w:r>
          </w:p>
        </w:tc>
        <w:tc>
          <w:tcPr>
            <w:tcW w:type="dxa" w:w="2880"/>
          </w:tcPr>
          <w:p>
            <w:r>
              <w:t>Stakeholder confidence survey: 96% confident system is production-ready</w:t>
            </w:r>
          </w:p>
        </w:tc>
      </w:tr>
      <w:tr>
        <w:tc>
          <w:tcPr>
            <w:tcW w:type="dxa" w:w="2880"/>
          </w:tcPr>
          <w:p>
            <w:r>
              <w:t>Keystones Firing</w:t>
            </w:r>
          </w:p>
        </w:tc>
        <w:tc>
          <w:tcPr>
            <w:tcW w:type="dxa" w:w="2880"/>
          </w:tcPr>
          <w:p>
            <w:r>
              <w:t>8/8 (100%)</w:t>
            </w:r>
          </w:p>
        </w:tc>
        <w:tc>
          <w:tcPr>
            <w:tcW w:type="dxa" w:w="2880"/>
          </w:tcPr>
          <w:p>
            <w:r>
              <w:t>All 8 keystones (K1–K8) firing correctly at designed checkpoints</w:t>
            </w:r>
          </w:p>
        </w:tc>
      </w:tr>
    </w:tbl>
    <w:p>
      <w:r>
        <w:br w:type="page"/>
      </w:r>
    </w:p>
    <w:p>
      <w:pPr>
        <w:pStyle w:val="Heading1"/>
      </w:pPr>
      <w:r>
        <w:t>7. Evaluation and Recommendation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Release Decision</w:t>
            </w:r>
          </w:p>
        </w:tc>
        <w:tc>
          <w:tcPr>
            <w:tcW w:type="dxa" w:w="4320"/>
          </w:tcPr>
          <w:p>
            <w:r>
              <w:t>GO TO PRODUCTION</w:t>
            </w:r>
          </w:p>
        </w:tc>
      </w:tr>
      <w:tr>
        <w:tc>
          <w:tcPr>
            <w:tcW w:type="dxa" w:w="4320"/>
          </w:tcPr>
          <w:p>
            <w:r>
              <w:t>Rationale</w:t>
            </w:r>
          </w:p>
        </w:tc>
        <w:tc>
          <w:tcPr>
            <w:tcW w:type="dxa" w:w="4320"/>
          </w:tcPr>
          <w:p>
            <w:r>
              <w:t>99.0% pass rate (192/194); 0 critical/high-severity defects open; 87% DDE; 94% DRE; all ISO 25010 characteristics passing; all 12 gates green; all 8 keystones firing; coverage adequacy 91%; regression suite 99.5% pass; stakeholder confidence 96%; schedule and budget on track.</w:t>
            </w:r>
          </w:p>
        </w:tc>
      </w:tr>
      <w:tr>
        <w:tc>
          <w:tcPr>
            <w:tcW w:type="dxa" w:w="4320"/>
          </w:tcPr>
          <w:p>
            <w:r>
              <w:t>Conditions (if applicable)</w:t>
            </w:r>
          </w:p>
        </w:tc>
        <w:tc>
          <w:tcPr>
            <w:tcW w:type="dxa" w:w="4320"/>
          </w:tcPr>
          <w:p>
            <w:r>
              <w:t>2 low-severity defects deferred to v1.0-minor (scheduled Q1 2027)</w:t>
            </w:r>
          </w:p>
        </w:tc>
      </w:tr>
      <w:tr>
        <w:tc>
          <w:tcPr>
            <w:tcW w:type="dxa" w:w="4320"/>
          </w:tcPr>
          <w:p>
            <w:r>
              <w:t>Approved Exceptions</w:t>
            </w:r>
          </w:p>
        </w:tc>
        <w:tc>
          <w:tcPr>
            <w:tcW w:type="dxa" w:w="4320"/>
          </w:tcPr>
          <w:p>
            <w:r>
              <w:t>None. All exceptions documented and closed.</w:t>
            </w:r>
          </w:p>
        </w:tc>
      </w:tr>
      <w:tr>
        <w:tc>
          <w:tcPr>
            <w:tcW w:type="dxa" w:w="4320"/>
          </w:tcPr>
          <w:p>
            <w:r>
              <w:t>Go-Live Date</w:t>
            </w:r>
          </w:p>
        </w:tc>
        <w:tc>
          <w:tcPr>
            <w:tcW w:type="dxa" w:w="4320"/>
          </w:tcPr>
          <w:p>
            <w:r>
              <w:t>23 December 2026</w:t>
            </w:r>
          </w:p>
        </w:tc>
      </w:tr>
    </w:tbl>
    <w:p/>
    <w:p>
      <w:r>
        <w:t>Key Success Criteria Met:</w:t>
      </w:r>
    </w:p>
    <w:p>
      <w:pPr>
        <w:pStyle w:val="ListBullet"/>
      </w:pPr>
      <w:r>
        <w:t>✓ All 12 gates passing</w:t>
      </w:r>
    </w:p>
    <w:p>
      <w:pPr>
        <w:pStyle w:val="ListBullet"/>
      </w:pPr>
      <w:r>
        <w:t>✓ All 8 keystones firing correctly</w:t>
      </w:r>
    </w:p>
    <w:p>
      <w:pPr>
        <w:pStyle w:val="ListBullet"/>
      </w:pPr>
      <w:r>
        <w:t>✓ 194 test cases, 99% pass rate</w:t>
      </w:r>
    </w:p>
    <w:p>
      <w:pPr>
        <w:pStyle w:val="ListBullet"/>
      </w:pPr>
      <w:r>
        <w:t>✓ DDE 87% / DRE 94% / Leakage 6%</w:t>
      </w:r>
    </w:p>
    <w:p>
      <w:pPr>
        <w:pStyle w:val="ListBullet"/>
      </w:pPr>
      <w:r>
        <w:t>✓ 0 critical defects open</w:t>
      </w:r>
    </w:p>
    <w:p>
      <w:pPr>
        <w:pStyle w:val="ListBullet"/>
      </w:pPr>
      <w:r>
        <w:t>✓ On schedule, on budget</w:t>
      </w:r>
    </w:p>
    <w:p>
      <w:r>
        <w:br w:type="page"/>
      </w:r>
    </w:p>
    <w:p>
      <w:pPr>
        <w:pStyle w:val="Heading1"/>
      </w:pPr>
      <w:r>
        <w:t>8. Residual Risks</w:t>
      </w:r>
    </w:p>
    <w:p>
      <w:r>
        <w:t>Two residual risks (Class A) documented as accepted by stakeholders: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Risk ID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Class</w:t>
            </w:r>
          </w:p>
        </w:tc>
        <w:tc>
          <w:tcPr>
            <w:tcW w:type="dxa" w:w="1728"/>
          </w:tcPr>
          <w:p>
            <w:r>
              <w:t>Likelihood</w:t>
            </w:r>
          </w:p>
        </w:tc>
        <w:tc>
          <w:tcPr>
            <w:tcW w:type="dxa" w:w="1728"/>
          </w:tcPr>
          <w:p>
            <w:r>
              <w:t>Mitigation / Acceptance</w:t>
            </w:r>
          </w:p>
        </w:tc>
      </w:tr>
      <w:tr>
        <w:tc>
          <w:tcPr>
            <w:tcW w:type="dxa" w:w="1728"/>
          </w:tcPr>
          <w:p>
            <w:r>
              <w:t>R1</w:t>
            </w:r>
          </w:p>
        </w:tc>
        <w:tc>
          <w:tcPr>
            <w:tcW w:type="dxa" w:w="1728"/>
          </w:tcPr>
          <w:p>
            <w:r>
              <w:t>2 low-severity defects deferred to v1.0-minor (Requirements Gap, Test Data Setup)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Accepted by CAA; formal backlist entry; target Q1 2027 minor release</w:t>
            </w:r>
          </w:p>
        </w:tc>
      </w:tr>
      <w:tr>
        <w:tc>
          <w:tcPr>
            <w:tcW w:type="dxa" w:w="1728"/>
          </w:tcPr>
          <w:p>
            <w:r>
              <w:t>R2</w:t>
            </w:r>
          </w:p>
        </w:tc>
        <w:tc>
          <w:tcPr>
            <w:tcW w:type="dxa" w:w="1728"/>
          </w:tcPr>
          <w:p>
            <w:r>
              <w:t>6% defect leakage to production (13 low-severity, deferred items)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Mitigation: enhanced monitoring in prod; v1.0-minor release plan in place</w:t>
            </w:r>
          </w:p>
        </w:tc>
      </w:tr>
    </w:tbl>
    <w:p/>
    <w:p>
      <w:r>
        <w:t>All Class A risks documented and formally accepted by stakeholders (Delivery Decision Holder, CAA Innovation Hub, RAISO).</w:t>
      </w:r>
    </w:p>
    <w:p>
      <w:r>
        <w:br w:type="page"/>
      </w:r>
    </w:p>
    <w:p>
      <w:pPr>
        <w:pStyle w:val="Heading1"/>
      </w:pPr>
      <w:r>
        <w:t>9. Lessons Learned and Process Improvements</w:t>
      </w:r>
    </w:p>
    <w:p>
      <w:pPr>
        <w:pStyle w:val="Heading2"/>
      </w:pPr>
      <w:r>
        <w:t>9.1 What Worked Well</w:t>
      </w:r>
    </w:p>
    <w:p>
      <w:pPr>
        <w:pStyle w:val="ListBullet"/>
      </w:pPr>
      <w:r>
        <w:t>Early classified enclave procurement (Week 1) was the critical decision that kept the programme on schedule. Despite ML explainability testability gaps (WS-006, +2 weeks), parallel L4 system testing and early infrastructure investment meant zero critical path impact.</w:t>
      </w:r>
    </w:p>
    <w:p>
      <w:pPr>
        <w:pStyle w:val="ListBullet"/>
      </w:pPr>
      <w:r>
        <w:t>Twin-sample regression strategy (27 min avg E2E) enabled rapid feedback cycles. Reduced post-defect-fix regression from ~4 hrs to &lt;30 min, allowing 3–4 fix-validate cycles per day.</w:t>
      </w:r>
    </w:p>
    <w:p>
      <w:pPr>
        <w:pStyle w:val="ListBullet"/>
      </w:pPr>
      <w:r>
        <w:t>77% test automation (150/194 TCs) significantly improved velocity in L5–L6. Automated suites ran nightly; manual focus shifted to exploratory and usability testing.</w:t>
      </w:r>
    </w:p>
    <w:p>
      <w:pPr>
        <w:pStyle w:val="ListBullet"/>
      </w:pPr>
      <w:r>
        <w:t>Keystone gates (K1–K8) firing correctly. Clear decision points every ~5 weeks ensured early risk visibility and stakeholder alignment.</w:t>
      </w:r>
    </w:p>
    <w:p>
      <w:pPr>
        <w:pStyle w:val="ListBullet"/>
      </w:pPr>
      <w:r>
        <w:t>Cross-functional test team (QA, Dev, Ops, Security) embedded in sprints. Defect resolution MTTF averaged 28 hrs vs. target 48 hrs.</w:t>
      </w:r>
    </w:p>
    <w:p>
      <w:pPr>
        <w:pStyle w:val="Heading2"/>
      </w:pPr>
      <w:r>
        <w:t>9.2 What Needs Improvement</w:t>
      </w:r>
    </w:p>
    <w:p>
      <w:pPr>
        <w:pStyle w:val="ListBullet"/>
      </w:pPr>
      <w:r>
        <w:t>ML explainability and model interpretability were underestimated during planning. WS-006 workshop (Week 8–10) discovered critical testability gaps. Recommendation: allocate dedicated ML/AI testing specialists earlier; include XAI requirements in L1 test planning for future greenfield programmes.</w:t>
      </w:r>
    </w:p>
    <w:p>
      <w:pPr>
        <w:pStyle w:val="ListBullet"/>
      </w:pPr>
      <w:r>
        <w:t>Third-party integration on-boarding timelines: compliance vendor delays (Week 8–12) compressed L5 SIT by 1 week. Recommendation: establish integration supplier SLAs in contracts; mock third-party APIs earlier to unblock parallel testing.</w:t>
      </w:r>
    </w:p>
    <w:p>
      <w:pPr>
        <w:pStyle w:val="ListBullet"/>
      </w:pPr>
      <w:r>
        <w:t>Environment configuration drift: 2 outages in L5 (Week 34–35) due to manual network config changes. Recommendation: Infrastructure-as-Code (IaC) for all test environments; enforce change control on shared environments.</w:t>
      </w:r>
    </w:p>
    <w:p>
      <w:pPr>
        <w:pStyle w:val="ListBullet"/>
      </w:pPr>
      <w:r>
        <w:t>Test data setup defects (18 defects, 3rd leading root cause): manual test data creation was error-prone. Recommendation: invest in data generation framework; implement synthetic data pipelines for L3+ levels.</w:t>
      </w:r>
    </w:p>
    <w:p>
      <w:pPr>
        <w:pStyle w:val="Heading2"/>
      </w:pPr>
      <w:r>
        <w:t>9.3 Recommended Actions for Future Releases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Target Release</w:t>
            </w:r>
          </w:p>
        </w:tc>
      </w:tr>
      <w:tr>
        <w:tc>
          <w:tcPr>
            <w:tcW w:type="dxa" w:w="2880"/>
          </w:tcPr>
          <w:p>
            <w:r>
              <w:t>Establish dedicated ML/AI testing capability; hire 2 ML QA engineers</w:t>
            </w:r>
          </w:p>
        </w:tc>
        <w:tc>
          <w:tcPr>
            <w:tcW w:type="dxa" w:w="2880"/>
          </w:tcPr>
          <w:p>
            <w:r>
              <w:t>CAA Innovation Hub</w:t>
            </w:r>
          </w:p>
        </w:tc>
        <w:tc>
          <w:tcPr>
            <w:tcW w:type="dxa" w:w="2880"/>
          </w:tcPr>
          <w:p>
            <w:r>
              <w:t>v1.0-minor (Q1 2027)</w:t>
            </w:r>
          </w:p>
        </w:tc>
      </w:tr>
      <w:tr>
        <w:tc>
          <w:tcPr>
            <w:tcW w:type="dxa" w:w="2880"/>
          </w:tcPr>
          <w:p>
            <w:r>
              <w:t>Develop synthetic data generation framework; integrate into CI/CD</w:t>
            </w:r>
          </w:p>
        </w:tc>
        <w:tc>
          <w:tcPr>
            <w:tcW w:type="dxa" w:w="2880"/>
          </w:tcPr>
          <w:p>
            <w:r>
              <w:t>QA Lead</w:t>
            </w:r>
          </w:p>
        </w:tc>
        <w:tc>
          <w:tcPr>
            <w:tcW w:type="dxa" w:w="2880"/>
          </w:tcPr>
          <w:p>
            <w:r>
              <w:t>v1.0-minor (Q1 2027)</w:t>
            </w:r>
          </w:p>
        </w:tc>
      </w:tr>
      <w:tr>
        <w:tc>
          <w:tcPr>
            <w:tcW w:type="dxa" w:w="2880"/>
          </w:tcPr>
          <w:p>
            <w:r>
              <w:t>Implement Infrastructure-as-Code for all test environments; enforce immutability</w:t>
            </w:r>
          </w:p>
        </w:tc>
        <w:tc>
          <w:tcPr>
            <w:tcW w:type="dxa" w:w="2880"/>
          </w:tcPr>
          <w:p>
            <w:r>
              <w:t>Platform/DevOps Lead</w:t>
            </w:r>
          </w:p>
        </w:tc>
        <w:tc>
          <w:tcPr>
            <w:tcW w:type="dxa" w:w="2880"/>
          </w:tcPr>
          <w:p>
            <w:r>
              <w:t>v1.1 (Q2 2027)</w:t>
            </w:r>
          </w:p>
        </w:tc>
      </w:tr>
      <w:tr>
        <w:tc>
          <w:tcPr>
            <w:tcW w:type="dxa" w:w="2880"/>
          </w:tcPr>
          <w:p>
            <w:r>
              <w:t>Establish third-party integration supplier SLAs; mock APIs by Week 2 of planning</w:t>
            </w:r>
          </w:p>
        </w:tc>
        <w:tc>
          <w:tcPr>
            <w:tcW w:type="dxa" w:w="2880"/>
          </w:tcPr>
          <w:p>
            <w:r>
              <w:t>Programme Manager</w:t>
            </w:r>
          </w:p>
        </w:tc>
        <w:tc>
          <w:tcPr>
            <w:tcW w:type="dxa" w:w="2880"/>
          </w:tcPr>
          <w:p>
            <w:r>
              <w:t>Next programme</w:t>
            </w:r>
          </w:p>
        </w:tc>
      </w:tr>
      <w:tr>
        <w:tc>
          <w:tcPr>
            <w:tcW w:type="dxa" w:w="2880"/>
          </w:tcPr>
          <w:p>
            <w:r>
              <w:t>Expand twin-sample regression to include performance baseline; add cost tracking</w:t>
            </w:r>
          </w:p>
        </w:tc>
        <w:tc>
          <w:tcPr>
            <w:tcW w:type="dxa" w:w="2880"/>
          </w:tcPr>
          <w:p>
            <w:r>
              <w:t>QA Automation Lead</w:t>
            </w:r>
          </w:p>
        </w:tc>
        <w:tc>
          <w:tcPr>
            <w:tcW w:type="dxa" w:w="2880"/>
          </w:tcPr>
          <w:p>
            <w:r>
              <w:t>v1.0-minor (Q1 2027)</w:t>
            </w:r>
          </w:p>
        </w:tc>
      </w:tr>
    </w:tbl>
    <w:p>
      <w:r>
        <w:br w:type="page"/>
      </w:r>
    </w:p>
    <w:p>
      <w:pPr>
        <w:pStyle w:val="Heading1"/>
      </w:pPr>
      <w:r>
        <w:t>10. Appendices</w:t>
      </w:r>
    </w:p>
    <w:p>
      <w:pPr>
        <w:pStyle w:val="Heading2"/>
      </w:pPr>
      <w:r>
        <w:t>Appendix A: Traceability Matrix Summary</w:t>
      </w:r>
    </w:p>
    <w:p>
      <w:r>
        <w:t>Requirement Coverage by Test Level: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Level</w:t>
            </w:r>
          </w:p>
        </w:tc>
        <w:tc>
          <w:tcPr>
            <w:tcW w:type="dxa" w:w="2880"/>
          </w:tcPr>
          <w:p>
            <w:r>
              <w:t>Requirements Covered</w:t>
            </w:r>
          </w:p>
        </w:tc>
        <w:tc>
          <w:tcPr>
            <w:tcW w:type="dxa" w:w="2880"/>
          </w:tcPr>
          <w:p>
            <w:r>
              <w:t>Coverage %</w:t>
            </w:r>
          </w:p>
        </w:tc>
      </w:tr>
      <w:tr>
        <w:tc>
          <w:tcPr>
            <w:tcW w:type="dxa" w:w="2880"/>
          </w:tcPr>
          <w:p>
            <w:r>
              <w:t>L1 (Unit)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19%</w:t>
            </w:r>
          </w:p>
        </w:tc>
      </w:tr>
      <w:tr>
        <w:tc>
          <w:tcPr>
            <w:tcW w:type="dxa" w:w="2880"/>
          </w:tcPr>
          <w:p>
            <w:r>
              <w:t>L2 (Component)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26%</w:t>
            </w:r>
          </w:p>
        </w:tc>
      </w:tr>
      <w:tr>
        <w:tc>
          <w:tcPr>
            <w:tcW w:type="dxa" w:w="2880"/>
          </w:tcPr>
          <w:p>
            <w:r>
              <w:t>L3 (Integration)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31%</w:t>
            </w:r>
          </w:p>
        </w:tc>
      </w:tr>
      <w:tr>
        <w:tc>
          <w:tcPr>
            <w:tcW w:type="dxa" w:w="2880"/>
          </w:tcPr>
          <w:p>
            <w:r>
              <w:t>L4 (System)</w:t>
            </w:r>
          </w:p>
        </w:tc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42%</w:t>
            </w:r>
          </w:p>
        </w:tc>
      </w:tr>
      <w:tr>
        <w:tc>
          <w:tcPr>
            <w:tcW w:type="dxa" w:w="2880"/>
          </w:tcPr>
          <w:p>
            <w:r>
              <w:t>L5 (SIT)</w:t>
            </w:r>
          </w:p>
        </w:tc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53%</w:t>
            </w:r>
          </w:p>
        </w:tc>
      </w:tr>
      <w:tr>
        <w:tc>
          <w:tcPr>
            <w:tcW w:type="dxa" w:w="2880"/>
          </w:tcPr>
          <w:p>
            <w:r>
              <w:t>L6 (UAT)</w:t>
            </w:r>
          </w:p>
        </w:tc>
        <w:tc>
          <w:tcPr>
            <w:tcW w:type="dxa" w:w="2880"/>
          </w:tcPr>
          <w:p>
            <w:r>
              <w:t>141</w:t>
            </w:r>
          </w:p>
        </w:tc>
        <w:tc>
          <w:tcPr>
            <w:tcW w:type="dxa" w:w="2880"/>
          </w:tcPr>
          <w:p>
            <w:r>
              <w:t>96%</w:t>
            </w:r>
          </w:p>
        </w:tc>
      </w:tr>
      <w:tr>
        <w:tc>
          <w:tcPr>
            <w:tcW w:type="dxa" w:w="2880"/>
          </w:tcPr>
          <w:p>
            <w:r>
              <w:t>TOTAL MAPPED</w:t>
            </w:r>
          </w:p>
        </w:tc>
        <w:tc>
          <w:tcPr>
            <w:tcW w:type="dxa" w:w="2880"/>
          </w:tcPr>
          <w:p>
            <w:r>
              <w:t>141 of 147</w:t>
            </w:r>
          </w:p>
        </w:tc>
        <w:tc>
          <w:tcPr>
            <w:tcW w:type="dxa" w:w="2880"/>
          </w:tcPr>
          <w:p>
            <w:r>
              <w:t>96%</w:t>
            </w:r>
          </w:p>
        </w:tc>
      </w:tr>
    </w:tbl>
    <w:p/>
    <w:p>
      <w:r>
        <w:t>6 requirements (4%) are design/infrastructure-level and are not directly testable; documented as design decisions.</w:t>
      </w:r>
    </w:p>
    <w:p>
      <w:pPr>
        <w:pStyle w:val="Heading2"/>
      </w:pPr>
      <w:r>
        <w:t>Appendix B: Defect Log Summary</w:t>
      </w:r>
    </w:p>
    <w:p>
      <w:r>
        <w:t>Defect Statistics: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Status at Release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8 Fixed, 0 Open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65 Fixed, 0 Open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11 Fixed, 2 Deferred to v1.0-minor</w:t>
            </w:r>
          </w:p>
        </w:tc>
      </w:tr>
      <w:tr>
        <w:tc>
          <w:tcPr>
            <w:tcW w:type="dxa" w:w="2880"/>
          </w:tcPr>
          <w:p>
            <w:r>
              <w:t>TOTAL IDENTIFIED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84 Fixed (97.7%), 2 Deferred (2.3%)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t>Root Cause Distribution:</w:t>
      </w:r>
    </w:p>
    <w:p>
      <w:pPr>
        <w:pStyle w:val="ListBullet"/>
      </w:pPr>
      <w:r>
        <w:t>Requirements Gap: 32 (37%)</w:t>
      </w:r>
    </w:p>
    <w:p>
      <w:pPr>
        <w:pStyle w:val="ListBullet"/>
      </w:pPr>
      <w:r>
        <w:t>Test Data Setup: 18 (21%)</w:t>
      </w:r>
    </w:p>
    <w:p>
      <w:pPr>
        <w:pStyle w:val="ListBullet"/>
      </w:pPr>
      <w:r>
        <w:t>Environment Config: 12 (14%)</w:t>
      </w:r>
    </w:p>
    <w:p>
      <w:pPr>
        <w:pStyle w:val="ListBullet"/>
      </w:pPr>
      <w:r>
        <w:t>Third-party Integration: 11 (13%)</w:t>
      </w:r>
    </w:p>
    <w:p>
      <w:pPr>
        <w:pStyle w:val="ListBullet"/>
      </w:pPr>
      <w:r>
        <w:t>ML Explainability: 8 (9%)</w:t>
      </w:r>
    </w:p>
    <w:p>
      <w:pPr>
        <w:pStyle w:val="ListBullet"/>
      </w:pPr>
      <w:r>
        <w:t>Other: 5 (6%)</w:t>
      </w:r>
    </w:p>
    <w:p>
      <w:pPr>
        <w:pStyle w:val="Heading2"/>
      </w:pPr>
      <w:r>
        <w:t>Appendix C: Test Environment Configuration</w:t>
      </w:r>
    </w:p>
    <w:p>
      <w:r>
        <w:t>Test Environment Specifications (Final Configuration):</w:t>
      </w:r>
    </w:p>
    <w:p>
      <w:pPr>
        <w:pStyle w:val="ListBullet"/>
      </w:pPr>
      <w:r>
        <w:t>Compute: AWS EC2 m5.2xlarge (8 vCPU, 32 GB RAM) × 3 nodes</w:t>
      </w:r>
    </w:p>
    <w:p>
      <w:pPr>
        <w:pStyle w:val="ListBullet"/>
      </w:pPr>
      <w:r>
        <w:t>Database: PostgreSQL 14.5 (Multi-AZ, automated backup)</w:t>
      </w:r>
    </w:p>
    <w:p>
      <w:pPr>
        <w:pStyle w:val="ListBullet"/>
      </w:pPr>
      <w:r>
        <w:t>Containerization: Docker 20.10 + Kubernetes 1.24</w:t>
      </w:r>
    </w:p>
    <w:p>
      <w:pPr>
        <w:pStyle w:val="ListBullet"/>
      </w:pPr>
      <w:r>
        <w:t>CI/CD: GitLab Runner + Jenkins (dual-pipeline validation)</w:t>
      </w:r>
    </w:p>
    <w:p>
      <w:pPr>
        <w:pStyle w:val="ListBullet"/>
      </w:pPr>
      <w:r>
        <w:t>Monitoring: Prometheus + Grafana + ELK Stack</w:t>
      </w:r>
    </w:p>
    <w:p>
      <w:pPr>
        <w:pStyle w:val="ListBullet"/>
      </w:pPr>
      <w:r>
        <w:t>Network: VPC isolation, security group rules, WAF enabled</w:t>
      </w:r>
    </w:p>
    <w:p/>
    <w:p>
      <w:r>
        <w:t>Environment Uptime (Weeks 1–40): 98.7% (2 unplanned outages &lt;2 hrs each)</w:t>
      </w:r>
    </w:p>
    <w:p>
      <w:r>
        <w:br w:type="page"/>
      </w:r>
    </w:p>
    <w:p>
      <w:pPr>
        <w:pStyle w:val="Heading1"/>
      </w:pPr>
      <w:r>
        <w:t>Signature Block</w:t>
      </w:r>
    </w:p>
    <w:p/>
    <w:p>
      <w:r>
        <w:t>Released for Production: 23 December 2026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 / Title</w:t>
            </w:r>
          </w:p>
        </w:tc>
        <w:tc>
          <w:tcPr>
            <w:tcW w:type="dxa" w:w="2880"/>
          </w:tcPr>
          <w:p>
            <w:r>
              <w:t>Date / Signature</w:t>
            </w:r>
          </w:p>
        </w:tc>
      </w:tr>
      <w:tr>
        <w:tc>
          <w:tcPr>
            <w:tcW w:type="dxa" w:w="2880"/>
          </w:tcPr>
          <w:p>
            <w:r>
              <w:t>MAA Lead Inspector</w:t>
            </w:r>
          </w:p>
        </w:tc>
        <w:tc>
          <w:tcPr>
            <w:tcW w:type="dxa" w:w="2880"/>
          </w:tcPr>
          <w:p>
            <w:r>
              <w:t>[Test Manager / QA Director]</w:t>
            </w:r>
          </w:p>
        </w:tc>
        <w:tc>
          <w:tcPr>
            <w:tcW w:type="dxa" w:w="2880"/>
          </w:tcPr>
          <w:p>
            <w:r>
              <w:t>23 December 2026</w:t>
            </w:r>
          </w:p>
        </w:tc>
      </w:tr>
      <w:tr>
        <w:tc>
          <w:tcPr>
            <w:tcW w:type="dxa" w:w="2880"/>
          </w:tcPr>
          <w:p>
            <w:r>
              <w:t>CAA Innovation Hub Lead</w:t>
            </w:r>
          </w:p>
        </w:tc>
        <w:tc>
          <w:tcPr>
            <w:tcW w:type="dxa" w:w="2880"/>
          </w:tcPr>
          <w:p>
            <w:r>
              <w:t>[Innovation Hub Director]</w:t>
            </w:r>
          </w:p>
        </w:tc>
        <w:tc>
          <w:tcPr>
            <w:tcW w:type="dxa" w:w="2880"/>
          </w:tcPr>
          <w:p>
            <w:r>
              <w:t>23 December 2026</w:t>
            </w:r>
          </w:p>
        </w:tc>
      </w:tr>
      <w:tr>
        <w:tc>
          <w:tcPr>
            <w:tcW w:type="dxa" w:w="2880"/>
          </w:tcPr>
          <w:p>
            <w:r>
              <w:t>Workbench Programme Owner</w:t>
            </w:r>
          </w:p>
        </w:tc>
        <w:tc>
          <w:tcPr>
            <w:tcW w:type="dxa" w:w="2880"/>
          </w:tcPr>
          <w:p>
            <w:r>
              <w:t>[Programme Manager]</w:t>
            </w:r>
          </w:p>
        </w:tc>
        <w:tc>
          <w:tcPr>
            <w:tcW w:type="dxa" w:w="2880"/>
          </w:tcPr>
          <w:p>
            <w:r>
              <w:t>23 December 2026</w:t>
            </w:r>
          </w:p>
        </w:tc>
      </w:tr>
      <w:tr>
        <w:tc>
          <w:tcPr>
            <w:tcW w:type="dxa" w:w="2880"/>
          </w:tcPr>
          <w:p>
            <w:r>
              <w:t>DDH (Delivery Decision Holder)</w:t>
            </w:r>
          </w:p>
        </w:tc>
        <w:tc>
          <w:tcPr>
            <w:tcW w:type="dxa" w:w="2880"/>
          </w:tcPr>
          <w:p>
            <w:r>
              <w:t>[Senior Sponsor]</w:t>
            </w:r>
          </w:p>
        </w:tc>
        <w:tc>
          <w:tcPr>
            <w:tcW w:type="dxa" w:w="2880"/>
          </w:tcPr>
          <w:p>
            <w:r>
              <w:t>23 December 2026</w:t>
            </w:r>
          </w:p>
        </w:tc>
      </w:tr>
      <w:tr>
        <w:tc>
          <w:tcPr>
            <w:tcW w:type="dxa" w:w="2880"/>
          </w:tcPr>
          <w:p>
            <w:r>
              <w:t>RAISO (Risk/Assurance/Info Security Officer)</w:t>
            </w:r>
          </w:p>
        </w:tc>
        <w:tc>
          <w:tcPr>
            <w:tcW w:type="dxa" w:w="2880"/>
          </w:tcPr>
          <w:p>
            <w:r>
              <w:t>[Risk Officer]</w:t>
            </w:r>
          </w:p>
        </w:tc>
        <w:tc>
          <w:tcPr>
            <w:tcW w:type="dxa" w:w="2880"/>
          </w:tcPr>
          <w:p>
            <w:r>
              <w:t>23 December 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 xml:space="preserve">PAGE</w:instrText>
      <w:fldChar w:fldCharType="end"/>
    </w:r>
    <w:r>
      <w:t xml:space="preserve"> of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20"/>
      </w:rPr>
      <w:t>[OFFICIAL] MASTER TEST REPORT (MTR) - FINAL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