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Release Advice</w:t>
      </w:r>
    </w:p>
    <w:p>
      <w:pPr>
        <w:jc w:val="center"/>
      </w:pPr>
      <w:r>
        <w:rPr>
          <w:sz w:val="28"/>
        </w:rPr>
        <w:t>Workbench v1.0</w:t>
        <w:br/>
        <w:t>Release Candidate [RC-N]</w:t>
        <w:br/>
        <w:t>2026-04-23</w:t>
      </w:r>
    </w:p>
    <w:p>
      <w:pPr>
        <w:jc w:val="center"/>
      </w:pPr>
      <w:r>
        <w:rPr>
          <w:b/>
          <w:sz w:val="22"/>
        </w:rPr>
        <w:t>Classification: OFFICIAL</w:t>
      </w:r>
    </w:p>
    <w:p/>
    <w:p>
      <w:r>
        <w:br w:type="page"/>
      </w:r>
    </w:p>
    <w:p>
      <w:pPr>
        <w:pStyle w:val="Heading1"/>
      </w:pPr>
      <w:r>
        <w:t>Release Recommendation</w:t>
      </w:r>
    </w:p>
    <w:p>
      <w:r>
        <w:rPr>
          <w:b/>
          <w:color w:val="FF6666"/>
          <w:sz w:val="24"/>
        </w:rPr>
        <w:t>[GO / CONDITIONAL GO / NO GO]</w:t>
      </w:r>
    </w:p>
    <w:p>
      <w:r>
        <w:t>Replace with final recommendation based on gate status and defect analysis.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Test Execution Status</w:t>
      </w:r>
    </w:p>
    <w:p>
      <w:pPr>
        <w:pStyle w:val="ListBullet"/>
      </w:pPr>
      <w:r>
        <w:t>Total Test Cases Planned: 194</w:t>
      </w:r>
    </w:p>
    <w:p>
      <w:pPr>
        <w:pStyle w:val="ListBullet"/>
      </w:pPr>
      <w:r>
        <w:t>Test Cases Executed: [POPULATE]</w:t>
      </w:r>
    </w:p>
    <w:p>
      <w:pPr>
        <w:pStyle w:val="ListBullet"/>
      </w:pPr>
      <w:r>
        <w:t>Test Cases Passed: [POPULATE]</w:t>
      </w:r>
    </w:p>
    <w:p>
      <w:pPr>
        <w:pStyle w:val="ListBullet"/>
      </w:pPr>
      <w:r>
        <w:t>Test Cases Failed: [POPULATE]</w:t>
      </w:r>
    </w:p>
    <w:p>
      <w:pPr>
        <w:pStyle w:val="ListBullet"/>
      </w:pPr>
      <w:r>
        <w:t>Test Pass Rate: [POPULATE]%</w:t>
      </w:r>
    </w:p>
    <w:p>
      <w:pPr>
        <w:pStyle w:val="Heading2"/>
      </w:pPr>
      <w:r>
        <w:t>Defect Summary</w:t>
      </w:r>
    </w:p>
    <w:p>
      <w:pPr>
        <w:pStyle w:val="ListBullet"/>
      </w:pPr>
      <w:r>
        <w:t>Critical Defects Open: 0 (blocking)</w:t>
      </w:r>
    </w:p>
    <w:p>
      <w:pPr>
        <w:pStyle w:val="ListBullet"/>
      </w:pPr>
      <w:r>
        <w:t>Major Defects Open: [POPULATE] (documented acceptance required)</w:t>
      </w:r>
    </w:p>
    <w:p>
      <w:pPr>
        <w:pStyle w:val="ListBullet"/>
      </w:pPr>
      <w:r>
        <w:t>Minor Defects Deferred: [POPULATE]</w:t>
      </w:r>
    </w:p>
    <w:p>
      <w:pPr>
        <w:pStyle w:val="ListBullet"/>
      </w:pPr>
      <w:r>
        <w:t>Total Defects Resolved: [POPULATE]</w:t>
      </w:r>
    </w:p>
    <w:p>
      <w:pPr>
        <w:pStyle w:val="Heading2"/>
      </w:pPr>
      <w:r>
        <w:t>Coverage Assessment</w:t>
      </w:r>
    </w:p>
    <w:p>
      <w:pPr>
        <w:pStyle w:val="ListBullet"/>
      </w:pPr>
      <w:r>
        <w:t>Functional Requirement Coverage: [POPULATE]% (target 95%)</w:t>
      </w:r>
    </w:p>
    <w:p>
      <w:pPr>
        <w:pStyle w:val="ListBullet"/>
      </w:pPr>
      <w:r>
        <w:t>Decision/Branch Coverage: [POPULATE]% (target 95%)</w:t>
      </w:r>
    </w:p>
    <w:p>
      <w:pPr>
        <w:pStyle w:val="ListBullet"/>
      </w:pPr>
      <w:r>
        <w:t>Test Coverage Adequacy: [POPULATE]% (baseline 62.7%)</w:t>
      </w:r>
    </w:p>
    <w:p>
      <w:r>
        <w:br w:type="page"/>
      </w:r>
    </w:p>
    <w:p>
      <w:pPr>
        <w:pStyle w:val="Heading1"/>
      </w:pPr>
      <w:r>
        <w:t>Exit Criteria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Acceptance 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AC-R-01: All Gates 1-12 green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  <w:tr>
        <w:tc>
          <w:tcPr>
            <w:tcW w:type="dxa" w:w="2880"/>
          </w:tcPr>
          <w:p>
            <w:r>
              <w:t>AC-R-02: Full suite passed in last 7 days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  <w:tr>
        <w:tc>
          <w:tcPr>
            <w:tcW w:type="dxa" w:w="2880"/>
          </w:tcPr>
          <w:p>
            <w:r>
              <w:t>AC-R-03: Clause-library version pinned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  <w:tr>
        <w:tc>
          <w:tcPr>
            <w:tcW w:type="dxa" w:w="2880"/>
          </w:tcPr>
          <w:p>
            <w:r>
              <w:t>AC-R-04: Flake rate &lt;2% (30-day)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  <w:tr>
        <w:tc>
          <w:tcPr>
            <w:tcW w:type="dxa" w:w="2880"/>
          </w:tcPr>
          <w:p>
            <w:r>
              <w:t>AC-R-05: Allure pass rate &gt;95%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  <w:tr>
        <w:tc>
          <w:tcPr>
            <w:tcW w:type="dxa" w:w="2880"/>
          </w:tcPr>
          <w:p>
            <w:r>
              <w:t>AC-R-06: Twin-sample regression passed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  <w:tr>
        <w:tc>
          <w:tcPr>
            <w:tcW w:type="dxa" w:w="2880"/>
          </w:tcPr>
          <w:p>
            <w:r>
              <w:t>AC-R-07: Open critical defects = 0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  <w:tr>
        <w:tc>
          <w:tcPr>
            <w:tcW w:type="dxa" w:w="2880"/>
          </w:tcPr>
          <w:p>
            <w:r>
              <w:t>AC-R-08: Open major defects documented + accepted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  <w:tr>
        <w:tc>
          <w:tcPr>
            <w:tcW w:type="dxa" w:w="2880"/>
          </w:tcPr>
          <w:p>
            <w:r>
              <w:t>AC-R-09: Accessibility audit signed off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  <w:tr>
        <w:tc>
          <w:tcPr>
            <w:tcW w:type="dxa" w:w="2880"/>
          </w:tcPr>
          <w:p>
            <w:r>
              <w:t>AC-R-10: Classification two-person review signed off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  <w:tr>
        <w:tc>
          <w:tcPr>
            <w:tcW w:type="dxa" w:w="2880"/>
          </w:tcPr>
          <w:p>
            <w:r>
              <w:t>AC-R-11: Drift monitor green for 14 days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  <w:tr>
        <w:tc>
          <w:tcPr>
            <w:tcW w:type="dxa" w:w="2880"/>
          </w:tcPr>
          <w:p>
            <w:r>
              <w:t>AC-R-12: Independent assurance sign-off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  <w:tr>
        <w:tc>
          <w:tcPr>
            <w:tcW w:type="dxa" w:w="2880"/>
          </w:tcPr>
          <w:p>
            <w:r>
              <w:t>AC-R-13: DDH acknowledgement for v1.0 live use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[populate link]</w:t>
            </w:r>
          </w:p>
        </w:tc>
      </w:tr>
    </w:tbl>
    <w:p>
      <w:r>
        <w:br w:type="page"/>
      </w:r>
    </w:p>
    <w:p>
      <w:pPr>
        <w:pStyle w:val="Heading1"/>
      </w:pPr>
      <w:r>
        <w:t>Residual Risks (Class A)</w:t>
      </w:r>
    </w:p>
    <w:p>
      <w:pPr>
        <w:pStyle w:val="ListBullet"/>
      </w:pPr>
      <w:r>
        <w:t>The following Class A risks remain at release. Each requires formal acceptance by MAA Lead Inspector.</w:t>
      </w:r>
    </w:p>
    <w:p>
      <w:pPr>
        <w:ind w:left="360"/>
      </w:pPr>
      <w:r>
        <w:t>RISK-001: Orphaned clauses invalidate decision defensibility</w:t>
      </w:r>
    </w:p>
    <w:p>
      <w:pPr>
        <w:pStyle w:val="ListBullet2"/>
      </w:pPr>
      <w:r>
        <w:t>Mitigation: Unit test clause-to-evidence binding; parametrize for 3+ clause-library versions. Acceptance: MAA Inspector review.</w:t>
      </w:r>
    </w:p>
    <w:p>
      <w:pPr>
        <w:ind w:left="360"/>
      </w:pPr>
      <w:r>
        <w:t>RISK-002: Misclassification leaks OFFICIAL-SENSITIVE/SECRET evidence</w:t>
      </w:r>
    </w:p>
    <w:p>
      <w:pPr>
        <w:pStyle w:val="ListBullet2"/>
      </w:pPr>
      <w:r>
        <w:t>Mitigation: Classification-boundary test with two-person review. Acceptance: Sign-off on tier-crossing access denial.</w:t>
      </w:r>
    </w:p>
    <w:p>
      <w:pPr>
        <w:ind w:left="360"/>
      </w:pPr>
      <w:r>
        <w:t>RISK-003: Gap in forensic trail compromises AAIB investigation</w:t>
      </w:r>
    </w:p>
    <w:p>
      <w:pPr>
        <w:pStyle w:val="ListBullet2"/>
      </w:pPr>
      <w:r>
        <w:t>Mitigation: Ledger consistency audit + cryptographic hash chain verification. Acceptance: AAIB investigator tools validated.</w:t>
      </w:r>
    </w:p>
    <w:p>
      <w:r>
        <w:br w:type="page"/>
      </w:r>
    </w:p>
    <w:p>
      <w:pPr>
        <w:pStyle w:val="Heading1"/>
      </w:pPr>
      <w:r>
        <w:t>Release Conditions (if CONDITIONAL GO)</w:t>
      </w:r>
    </w:p>
    <w:p>
      <w:r>
        <w:t>This section populated only if recommendation is CONDITIONAL GO.</w:t>
      </w:r>
    </w:p>
    <w:p/>
    <w:p>
      <w:pPr>
        <w:pStyle w:val="ListNumber"/>
      </w:pPr>
      <w:r>
        <w:t>Condition 1: Flake rate monitor remains green for 14 consecutive days prior to go-live.</w:t>
      </w:r>
    </w:p>
    <w:p>
      <w:pPr>
        <w:pStyle w:val="ListNumber"/>
      </w:pPr>
      <w:r>
        <w:t>Condition 2: Drift monitor baseline verified; no threshold breaches detected.</w:t>
      </w:r>
    </w:p>
    <w:p>
      <w:pPr>
        <w:pStyle w:val="ListNumber"/>
      </w:pPr>
      <w:r>
        <w:t>Condition 3: Red-team final penetration test report signed off (Gate 7).</w:t>
      </w:r>
    </w:p>
    <w:p>
      <w:r>
        <w:br w:type="page"/>
      </w:r>
    </w:p>
    <w:p>
      <w:pPr>
        <w:pStyle w:val="Heading1"/>
      </w:pPr>
      <w:r>
        <w:t>Recommendations for Next Release (v1.0-minor, v1.1)</w:t>
      </w:r>
    </w:p>
    <w:p>
      <w:r>
        <w:t>Based on testing and quality assessment during v1.0 development:</w:t>
      </w:r>
    </w:p>
    <w:p>
      <w:pPr>
        <w:pStyle w:val="ListNumber"/>
      </w:pPr>
      <w:r>
        <w:t>Automate acceptance criteria checklist (AC-R-01 through AC-R-13) integration into CI/CD pipeline to reduce manual gate reviews.</w:t>
      </w:r>
    </w:p>
    <w:p>
      <w:pPr>
        <w:pStyle w:val="ListNumber"/>
      </w:pPr>
      <w:r>
        <w:t>Expand twin-sample regression test suite to include advanced autonomy scenarios in v1.1 (swarm coordination, dynamic task allocation).</w:t>
      </w:r>
    </w:p>
    <w:p>
      <w:pPr>
        <w:pStyle w:val="ListNumber"/>
      </w:pPr>
      <w:r>
        <w:t>Implement continuous drift monitoring dashboard for keystones (K1-K8) confidence scores; alert on degradation &gt;10% week-on-week.</w:t>
      </w:r>
    </w:p>
    <w:p>
      <w:pPr>
        <w:pStyle w:val="ListNumber"/>
      </w:pPr>
      <w:r>
        <w:t>Schedule quarterly usability study with panel operators (DDH stakeholders) to inform WCAG accessibility improvements for v1.1.</w:t>
      </w:r>
    </w:p>
    <w:p>
      <w:r>
        <w:br w:type="page"/>
      </w:r>
    </w:p>
    <w:p>
      <w:pPr>
        <w:pStyle w:val="Heading1"/>
      </w:pPr>
      <w:r>
        <w:t>Stakeholder Sign-off</w:t>
      </w:r>
    </w:p>
    <w:p>
      <w:r>
        <w:t>This release advice document must be signed off by the following stakeholders before release authorization: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 Role</w:t>
            </w:r>
          </w:p>
        </w:tc>
        <w:tc>
          <w:tcPr>
            <w:tcW w:type="dxa" w:w="2880"/>
          </w:tcPr>
          <w:p>
            <w:r>
              <w:t>Name / Signature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Workbench QA Lead</w:t>
            </w:r>
          </w:p>
        </w:tc>
        <w:tc>
          <w:tcPr>
            <w:tcW w:type="dxa" w:w="2880"/>
          </w:tcPr>
          <w:p>
            <w:r>
              <w:t>[signature]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  <w:tr>
        <w:tc>
          <w:tcPr>
            <w:tcW w:type="dxa" w:w="2880"/>
          </w:tcPr>
          <w:p>
            <w:r>
              <w:t>Workbench Test Manager</w:t>
            </w:r>
          </w:p>
        </w:tc>
        <w:tc>
          <w:tcPr>
            <w:tcW w:type="dxa" w:w="2880"/>
          </w:tcPr>
          <w:p>
            <w:r>
              <w:t>[signature]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  <w:tr>
        <w:tc>
          <w:tcPr>
            <w:tcW w:type="dxa" w:w="2880"/>
          </w:tcPr>
          <w:p>
            <w:r>
              <w:t>Workbench Product Owner</w:t>
            </w:r>
          </w:p>
        </w:tc>
        <w:tc>
          <w:tcPr>
            <w:tcW w:type="dxa" w:w="2880"/>
          </w:tcPr>
          <w:p>
            <w:r>
              <w:t>[signature]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  <w:tr>
        <w:tc>
          <w:tcPr>
            <w:tcW w:type="dxa" w:w="2880"/>
          </w:tcPr>
          <w:p>
            <w:r>
              <w:t>MAA Lead Inspector</w:t>
            </w:r>
          </w:p>
        </w:tc>
        <w:tc>
          <w:tcPr>
            <w:tcW w:type="dxa" w:w="2880"/>
          </w:tcPr>
          <w:p>
            <w:r>
              <w:t>[signature]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  <w:tr>
        <w:tc>
          <w:tcPr>
            <w:tcW w:type="dxa" w:w="2880"/>
          </w:tcPr>
          <w:p>
            <w:r>
              <w:t>CAA Chief of Flight Operations (Innovation Hub)</w:t>
            </w:r>
          </w:p>
        </w:tc>
        <w:tc>
          <w:tcPr>
            <w:tcW w:type="dxa" w:w="2880"/>
          </w:tcPr>
          <w:p>
            <w:r>
              <w:t>[signature]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OFFICIAL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