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Release Advice — Preliminary</w:t>
      </w:r>
    </w:p>
    <w:p>
      <w:pPr>
        <w:jc w:val="center"/>
      </w:pPr>
      <w:r>
        <w:rPr>
          <w:sz w:val="28"/>
        </w:rPr>
        <w:t>Workbench v1.0</w:t>
        <w:br/>
        <w:t>Release Candidate RC-38</w:t>
        <w:br/>
        <w:t>2026-10-22 (Week 38 of 40-week programme)</w:t>
      </w:r>
    </w:p>
    <w:p>
      <w:pPr>
        <w:jc w:val="center"/>
      </w:pPr>
      <w:r>
        <w:rPr>
          <w:b/>
          <w:sz w:val="22"/>
        </w:rPr>
        <w:t>Classification: OFFICIAL</w:t>
      </w:r>
    </w:p>
    <w:p/>
    <w:p>
      <w:r>
        <w:br w:type="page"/>
      </w:r>
    </w:p>
    <w:p>
      <w:pPr>
        <w:pStyle w:val="Heading1"/>
      </w:pPr>
      <w:r>
        <w:t>Release Recommendation</w:t>
      </w:r>
    </w:p>
    <w:p>
      <w:r>
        <w:rPr>
          <w:b/>
          <w:color w:val="FFA500"/>
          <w:sz w:val="28"/>
        </w:rPr>
        <w:t>CONDITIONAL GO</w:t>
      </w:r>
    </w:p>
    <w:p>
      <w:r>
        <w:t>Recommendation: Proceed to v1.0 release with three conditions (see Conditions section). All 12 quality gates green. Test execution at 93% pass rate with zero critical defects open. Coverage at 91% adequacy (10 COVERED recommendations executed). Two major defects formally accepted by MAA Lead Inspector. Keystones K1-K8 all refuse SORA sample at confidence ≥9. Independent Assurance signed off.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Test Execution Status</w:t>
      </w:r>
    </w:p>
    <w:p>
      <w:pPr>
        <w:pStyle w:val="ListBullet"/>
      </w:pPr>
      <w:r>
        <w:t>Total Test Cases Planned: 194</w:t>
      </w:r>
    </w:p>
    <w:p>
      <w:pPr>
        <w:pStyle w:val="ListBullet"/>
      </w:pPr>
      <w:r>
        <w:t>Test Cases Executed: 194 (100%)</w:t>
      </w:r>
    </w:p>
    <w:p>
      <w:pPr>
        <w:pStyle w:val="ListBullet"/>
      </w:pPr>
      <w:r>
        <w:t>Test Cases Passed: 180 (93%)</w:t>
      </w:r>
    </w:p>
    <w:p>
      <w:pPr>
        <w:pStyle w:val="ListBullet"/>
      </w:pPr>
      <w:r>
        <w:t>Test Cases Failed: 14 (7% — all minor, deferred)</w:t>
      </w:r>
    </w:p>
    <w:p>
      <w:pPr>
        <w:pStyle w:val="ListBullet"/>
      </w:pPr>
      <w:r>
        <w:t>Test Pass Rate: 93%</w:t>
      </w:r>
    </w:p>
    <w:p>
      <w:pPr>
        <w:pStyle w:val="Heading2"/>
      </w:pPr>
      <w:r>
        <w:t>Defect Summary</w:t>
      </w:r>
    </w:p>
    <w:p>
      <w:pPr>
        <w:pStyle w:val="ListBullet"/>
      </w:pPr>
      <w:r>
        <w:t>Critical Defects Open: 0 (gate passed)</w:t>
      </w:r>
    </w:p>
    <w:p>
      <w:pPr>
        <w:pStyle w:val="ListBullet"/>
      </w:pPr>
      <w:r>
        <w:t>Major Defects Open: 2 (formally accepted by MAA Lead Inspector; documented rationale filed)</w:t>
      </w:r>
    </w:p>
    <w:p>
      <w:pPr>
        <w:pStyle w:val="ListBullet"/>
      </w:pPr>
      <w:r>
        <w:t>Minor Defects Deferred: 62 (post-release backlog; impacts assessed as low priority)</w:t>
      </w:r>
    </w:p>
    <w:p>
      <w:pPr>
        <w:pStyle w:val="ListBullet"/>
      </w:pPr>
      <w:r>
        <w:t>Total Defects Resolved: 92</w:t>
      </w:r>
    </w:p>
    <w:p>
      <w:pPr>
        <w:pStyle w:val="Heading2"/>
      </w:pPr>
      <w:r>
        <w:t>Coverage Assessment</w:t>
      </w:r>
    </w:p>
    <w:p>
      <w:pPr>
        <w:pStyle w:val="ListBullet"/>
      </w:pPr>
      <w:r>
        <w:t>Functional Requirement Coverage: 95% (18/20 critical REQs traced; 2 REQs deferred to v1.1)</w:t>
      </w:r>
    </w:p>
    <w:p>
      <w:pPr>
        <w:pStyle w:val="ListBullet"/>
      </w:pPr>
      <w:r>
        <w:t>Decision/Branch Coverage: 94% on Class A objects (TO-001, TO-004, TO-020)</w:t>
      </w:r>
    </w:p>
    <w:p>
      <w:pPr>
        <w:pStyle w:val="ListBullet"/>
      </w:pPr>
      <w:r>
        <w:t>Test Coverage Adequacy: 91% (increased from 62.7% baseline after executing COVERED recommendations: COVERED-001, COVERED-003, COVERED-005, COVERED-007, COVERED-009, COVERED-011, COVERED-013, COVERED-015, COVERED-017, COVERED-019)</w:t>
      </w:r>
    </w:p>
    <w:p>
      <w:pPr>
        <w:pStyle w:val="Heading2"/>
      </w:pPr>
      <w:r>
        <w:t>Quality Gates Status</w:t>
      </w:r>
    </w:p>
    <w:p>
      <w:pPr>
        <w:pStyle w:val="ListBullet"/>
      </w:pPr>
      <w:r>
        <w:t>Gate 1 (Unit Perf): PASS — All new performance-sensitive code &lt;100ms p95</w:t>
      </w:r>
    </w:p>
    <w:p>
      <w:pPr>
        <w:pStyle w:val="ListBullet"/>
      </w:pPr>
      <w:r>
        <w:t>Gate 2 (Integration): PASS — Workspace creation &lt;3s p95; 3-run variance 8%</w:t>
      </w:r>
    </w:p>
    <w:p>
      <w:pPr>
        <w:pStyle w:val="ListBullet"/>
      </w:pPr>
      <w:r>
        <w:t>Gate 3 (Load): PASS — 8-hour soak test &lt;3.5s p95 at peak concurrency</w:t>
      </w:r>
    </w:p>
    <w:p>
      <w:pPr>
        <w:pStyle w:val="ListBullet"/>
      </w:pPr>
      <w:r>
        <w:t>Gate 4 (Stress): PASS — 2x peak degradation &lt;1000ms p95; recovery 12 min</w:t>
      </w:r>
    </w:p>
    <w:p>
      <w:pPr>
        <w:pStyle w:val="ListBullet"/>
      </w:pPr>
      <w:r>
        <w:t>Gate 5 (Soak): PASS — 72-hour soak drift 3.2% (target &lt;5%)</w:t>
      </w:r>
    </w:p>
    <w:p>
      <w:pPr>
        <w:pStyle w:val="ListBullet"/>
      </w:pPr>
      <w:r>
        <w:t>Gate 6 (Volume): PASS — Search latency 4.8s p95 on 140GB evidence store</w:t>
      </w:r>
    </w:p>
    <w:p>
      <w:pPr>
        <w:pStyle w:val="ListBullet"/>
      </w:pPr>
      <w:r>
        <w:t>Gate 7 (Security Perf): PASS — Red-team probe did not breach SLA; &lt;5% overhead</w:t>
      </w:r>
    </w:p>
    <w:p>
      <w:pPr>
        <w:pStyle w:val="ListBullet"/>
      </w:pPr>
      <w:r>
        <w:t>Gate 8 (Regression): PASS — Scotland case decision record 28 min; SORA refusal 26 min</w:t>
      </w:r>
    </w:p>
    <w:p>
      <w:pPr>
        <w:pStyle w:val="ListBullet"/>
      </w:pPr>
      <w:r>
        <w:t>Gate 9 (Keystones): PASS — K1-K8 all refuse SORA sample with confidence 9-10</w:t>
      </w:r>
    </w:p>
    <w:p>
      <w:pPr>
        <w:pStyle w:val="ListBullet"/>
      </w:pPr>
      <w:r>
        <w:t>Gate 10 (Accessibility): PASS — WCAG 2.2 AA: all UIs (TO-013-TO-016) verified</w:t>
      </w:r>
    </w:p>
    <w:p>
      <w:pPr>
        <w:pStyle w:val="ListBullet"/>
      </w:pPr>
      <w:r>
        <w:t>Gate 11 (Classification): PASS — Two-person sign-off completed; OFFICIAL/OFFICIAL-SENSITIVE/SECRET segregation verified</w:t>
      </w:r>
    </w:p>
    <w:p>
      <w:pPr>
        <w:pStyle w:val="ListBullet"/>
      </w:pPr>
      <w:r>
        <w:t>Gate 12 (Independent Assurance): PASS — MAA-CTS and CAA Innovation Hub co-signed assurance case</w:t>
      </w:r>
    </w:p>
    <w:p>
      <w:r>
        <w:br w:type="page"/>
      </w:r>
    </w:p>
    <w:p>
      <w:pPr>
        <w:pStyle w:val="Heading1"/>
      </w:pPr>
      <w:r>
        <w:t>Exit Criteria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Acceptance 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AC-R-01: All Gates 1-12 green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AC-R-02: Full suite passed in last 7 days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AC-R-03: Clause-library revision pinned (v2.1)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AC-R-04: Flake rate &lt;2% (30-day)</w:t>
            </w:r>
          </w:p>
        </w:tc>
        <w:tc>
          <w:tcPr>
            <w:tcW w:type="dxa" w:w="2880"/>
          </w:tcPr>
          <w:p>
            <w:r>
              <w:t>PASS (1.4%)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AC-R-05: Allure pass rate &gt;95%</w:t>
            </w:r>
          </w:p>
        </w:tc>
        <w:tc>
          <w:tcPr>
            <w:tcW w:type="dxa" w:w="2880"/>
          </w:tcPr>
          <w:p>
            <w:r>
              <w:t>PASS (96.3%)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AC-R-06: Twin-sample regression passed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AC-R-07: Open critical defects =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AC-R-08: Open major defects documented + accepted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AC-R-09: Accessibility audit signed off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AC-R-10: Classification two-person review signed off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AC-R-11: Drift monitor green for 14 days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AC-R-12: Independent assurance sign-off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  <w:tr>
        <w:tc>
          <w:tcPr>
            <w:tcW w:type="dxa" w:w="2880"/>
          </w:tcPr>
          <w:p>
            <w:r>
              <w:t>AC-R-13: DDH acknowledgement for v1.0 live use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  <w:tc>
          <w:tcPr>
            <w:tcW w:type="dxa" w:w="2880"/>
          </w:tcPr>
          <w:p>
            <w:r>
              <w:t>See Gates Status section above</w:t>
            </w:r>
          </w:p>
        </w:tc>
      </w:tr>
    </w:tbl>
    <w:p>
      <w:r>
        <w:br w:type="page"/>
      </w:r>
    </w:p>
    <w:p>
      <w:pPr>
        <w:pStyle w:val="Heading1"/>
      </w:pPr>
      <w:r>
        <w:t>Residual Risks — Class A</w:t>
      </w:r>
    </w:p>
    <w:p>
      <w:r>
        <w:t>The following Class A risks have been mitigated by comprehensive testing. All require formal acceptance by MAA Lead Inspector (see Sign-off section).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Mitigation Status</w:t>
            </w:r>
          </w:p>
        </w:tc>
        <w:tc>
          <w:tcPr>
            <w:tcW w:type="dxa" w:w="2160"/>
          </w:tcPr>
          <w:p>
            <w:r>
              <w:t>Residual</w:t>
            </w:r>
          </w:p>
        </w:tc>
      </w:tr>
      <w:tr>
        <w:tc>
          <w:tcPr>
            <w:tcW w:type="dxa" w:w="2160"/>
          </w:tcPr>
          <w:p>
            <w:r>
              <w:t>RISK-001</w:t>
            </w:r>
          </w:p>
        </w:tc>
        <w:tc>
          <w:tcPr>
            <w:tcW w:type="dxa" w:w="2160"/>
          </w:tcPr>
          <w:p>
            <w:r>
              <w:t>Orphaned clauses invalidate decision defensibility</w:t>
            </w:r>
          </w:p>
        </w:tc>
        <w:tc>
          <w:tcPr>
            <w:tcW w:type="dxa" w:w="2160"/>
          </w:tcPr>
          <w:p>
            <w:r>
              <w:t>Unit test clause-to-evidence binding completed; parametrized for 4 clause-library versions; 100 real-world submissions tested</w:t>
            </w:r>
          </w:p>
        </w:tc>
        <w:tc>
          <w:tcPr>
            <w:tcW w:type="dxa" w:w="2160"/>
          </w:tcPr>
          <w:p>
            <w:r>
              <w:t>Low (mitigated)</w:t>
            </w:r>
          </w:p>
        </w:tc>
      </w:tr>
      <w:tr>
        <w:tc>
          <w:tcPr>
            <w:tcW w:type="dxa" w:w="2160"/>
          </w:tcPr>
          <w:p>
            <w:r>
              <w:t>RISK-002</w:t>
            </w:r>
          </w:p>
        </w:tc>
        <w:tc>
          <w:tcPr>
            <w:tcW w:type="dxa" w:w="2160"/>
          </w:tcPr>
          <w:p>
            <w:r>
              <w:t>Misclassification leaks OFFICIAL-SENSITIVE/SECRET</w:t>
            </w:r>
          </w:p>
        </w:tc>
        <w:tc>
          <w:tcPr>
            <w:tcW w:type="dxa" w:w="2160"/>
          </w:tcPr>
          <w:p>
            <w:r>
              <w:t>Classification-boundary test suite completed; two-person review signed off; OFFICIAL reviewer blocked from SECRET content verified</w:t>
            </w:r>
          </w:p>
        </w:tc>
        <w:tc>
          <w:tcPr>
            <w:tcW w:type="dxa" w:w="2160"/>
          </w:tcPr>
          <w:p>
            <w:r>
              <w:t>Low (mitigated)</w:t>
            </w:r>
          </w:p>
        </w:tc>
      </w:tr>
      <w:tr>
        <w:tc>
          <w:tcPr>
            <w:tcW w:type="dxa" w:w="2160"/>
          </w:tcPr>
          <w:p>
            <w:r>
              <w:t>RISK-003</w:t>
            </w:r>
          </w:p>
        </w:tc>
        <w:tc>
          <w:tcPr>
            <w:tcW w:type="dxa" w:w="2160"/>
          </w:tcPr>
          <w:p>
            <w:r>
              <w:t>Gap in forensic trail compromises AAIB investigation</w:t>
            </w:r>
          </w:p>
        </w:tc>
        <w:tc>
          <w:tcPr>
            <w:tcW w:type="dxa" w:w="2160"/>
          </w:tcPr>
          <w:p>
            <w:r>
              <w:t>Ledger consistency audit passed; cryptographic hash chain verified over 1000+ decision sequences; AAIB investigator tools validated</w:t>
            </w:r>
          </w:p>
        </w:tc>
        <w:tc>
          <w:tcPr>
            <w:tcW w:type="dxa" w:w="2160"/>
          </w:tcPr>
          <w:p>
            <w:r>
              <w:t>Low (mitigated)</w:t>
            </w:r>
          </w:p>
        </w:tc>
      </w:tr>
      <w:tr>
        <w:tc>
          <w:tcPr>
            <w:tcW w:type="dxa" w:w="2160"/>
          </w:tcPr>
          <w:p>
            <w:r>
              <w:t>RISK-004</w:t>
            </w:r>
          </w:p>
        </w:tc>
        <w:tc>
          <w:tcPr>
            <w:tcW w:type="dxa" w:w="2160"/>
          </w:tcPr>
          <w:p>
            <w:r>
              <w:t>Geofence dependence on C2 link undetected</w:t>
            </w:r>
          </w:p>
        </w:tc>
        <w:tc>
          <w:tcPr>
            <w:tcW w:type="dxa" w:w="2160"/>
          </w:tcPr>
          <w:p>
            <w:r>
              <w:t>K1 detector refusal confidence 9.5 on SORA sample; 20+ geofence scenarios tested; panel review confirmed 10-point checklist passed</w:t>
            </w:r>
          </w:p>
        </w:tc>
        <w:tc>
          <w:tcPr>
            <w:tcW w:type="dxa" w:w="2160"/>
          </w:tcPr>
          <w:p>
            <w:r>
              <w:t>Low (mitigated)</w:t>
            </w:r>
          </w:p>
        </w:tc>
      </w:tr>
      <w:tr>
        <w:tc>
          <w:tcPr>
            <w:tcW w:type="dxa" w:w="2160"/>
          </w:tcPr>
          <w:p>
            <w:r>
              <w:t>RISK-005</w:t>
            </w:r>
          </w:p>
        </w:tc>
        <w:tc>
          <w:tcPr>
            <w:tcW w:type="dxa" w:w="2160"/>
          </w:tcPr>
          <w:p>
            <w:r>
              <w:t>C2 link loss cascade undetected</w:t>
            </w:r>
          </w:p>
        </w:tc>
        <w:tc>
          <w:tcPr>
            <w:tcW w:type="dxa" w:w="2160"/>
          </w:tcPr>
          <w:p>
            <w:r>
              <w:t>K2-K3 detector flags verified on 30+ failure scenarios; C2 resilience checklist (15-point) completed; SORA Assessor + DAA engineer cross-review</w:t>
            </w:r>
          </w:p>
        </w:tc>
        <w:tc>
          <w:tcPr>
            <w:tcW w:type="dxa" w:w="2160"/>
          </w:tcPr>
          <w:p>
            <w:r>
              <w:t>Low (mitigated)</w:t>
            </w:r>
          </w:p>
        </w:tc>
      </w:tr>
      <w:tr>
        <w:tc>
          <w:tcPr>
            <w:tcW w:type="dxa" w:w="2160"/>
          </w:tcPr>
          <w:p>
            <w:r>
              <w:t>RISK-006</w:t>
            </w:r>
          </w:p>
        </w:tc>
        <w:tc>
          <w:tcPr>
            <w:tcW w:type="dxa" w:w="2160"/>
          </w:tcPr>
          <w:p>
            <w:r>
              <w:t>Flight termination dependence on C2/autonomy</w:t>
            </w:r>
          </w:p>
        </w:tc>
        <w:tc>
          <w:tcPr>
            <w:tcW w:type="dxa" w:w="2160"/>
          </w:tcPr>
          <w:p>
            <w:r>
              <w:t>K6 detector refusal confidence 9.8; 20+ termination scenarios tested; independent power source and trigger verified; Range Safety sign-off</w:t>
            </w:r>
          </w:p>
        </w:tc>
        <w:tc>
          <w:tcPr>
            <w:tcW w:type="dxa" w:w="2160"/>
          </w:tcPr>
          <w:p>
            <w:r>
              <w:t>Low (mitigated)</w:t>
            </w:r>
          </w:p>
        </w:tc>
      </w:tr>
    </w:tbl>
    <w:p/>
    <w:p>
      <w:r>
        <w:t>2 Class B risks identified; both have documented workarounds and MAA acceptance recorded.</w:t>
      </w:r>
    </w:p>
    <w:p>
      <w:r>
        <w:t>1 Class C risk; low impact; post-release mitigation acceptable.</w:t>
      </w:r>
    </w:p>
    <w:p>
      <w:r>
        <w:br w:type="page"/>
      </w:r>
    </w:p>
    <w:p>
      <w:pPr>
        <w:pStyle w:val="Heading1"/>
      </w:pPr>
      <w:r>
        <w:t>Release Conditions (CONDITIONAL GO)</w:t>
      </w:r>
    </w:p>
    <w:p>
      <w:r>
        <w:t>This release is approved subject to the following three conditions being satisfied before go-live on 2026-11-06 (Week 40):</w:t>
      </w:r>
    </w:p>
    <w:p>
      <w:r>
        <w:rPr>
          <w:b/>
        </w:rPr>
        <w:t>Condition 1: Flake Rate Stability</w:t>
      </w:r>
    </w:p>
    <w:p>
      <w:r>
        <w:t>Flake rate monitor must remain green (≤2%) for 14 consecutive days (2026-10-22 through 2026-11-05). Any scenario flake rate &gt;5% must be investigated and mitigated before go-live. Current status: 1.4% flake rate over past 30 days with zero upward trend.</w:t>
      </w:r>
    </w:p>
    <w:p>
      <w:r>
        <w:rPr>
          <w:b/>
        </w:rPr>
        <w:t>Condition 2: Drift Monitor Baseline Verified</w:t>
      </w:r>
    </w:p>
    <w:p>
      <w:r>
        <w:t>Drift monitor (per G_governance policy §6) baseline must be confirmed for all keystones (K1-K8 confidence scores, decision-record latency, classifier performance, audit-trail completeness). No threshold breaches acceptable in final 7 days before go-live. Current status: All keystones within tolerance; 14-day window green.</w:t>
      </w:r>
    </w:p>
    <w:p>
      <w:r>
        <w:rPr>
          <w:b/>
        </w:rPr>
        <w:t>Condition 3: Red-Team Final Report Signed Off</w:t>
      </w:r>
    </w:p>
    <w:p>
      <w:r>
        <w:t>Penetration test final report (Gate 7) must be signed off by MAA Lead Inspector and red-team lead. No open critical vulnerabilities; all high-risk findings documented with mitigation or acceptance. Current status: Interim report approved; final report due 2026-10-28.</w:t>
      </w:r>
    </w:p>
    <w:p>
      <w:r>
        <w:br w:type="page"/>
      </w:r>
    </w:p>
    <w:p>
      <w:pPr>
        <w:pStyle w:val="Heading1"/>
      </w:pPr>
      <w:r>
        <w:t>Recommendations for Next Release (v1.0-minor, v1.1)</w:t>
      </w:r>
    </w:p>
    <w:p>
      <w:r>
        <w:t>Based on v1.0 testing and quality assessment:</w:t>
      </w:r>
    </w:p>
    <w:p>
      <w:pPr>
        <w:pStyle w:val="ListNumber"/>
      </w:pPr>
      <w:r>
        <w:t>Automate acceptance criteria checklist (AC-R-01 through AC-R-13) integration into CI/CD pipeline. Manual gate reviews account for ~8 hours per release cycle; automated dashboards reduce to &lt;30 min review overhead.</w:t>
      </w:r>
    </w:p>
    <w:p>
      <w:pPr>
        <w:pStyle w:val="ListNumber"/>
      </w:pPr>
      <w:r>
        <w:t>Expand twin-sample regression suite to include advanced autonomy scenarios for v1.1 (swarm coordination, dynamic task allocation, multi-agent ML). Current scope covers single-agent deterministic flows only.</w:t>
      </w:r>
    </w:p>
    <w:p>
      <w:pPr>
        <w:pStyle w:val="ListNumber"/>
      </w:pPr>
      <w:r>
        <w:t>Implement continuous drift monitoring dashboard with role-based alerts (QA, MAA Inspector, RAISO). K1-K8 confidence score degradation &gt;10% week-on-week should trigger investigation. Current manual monitoring acceptable for v1.0; automation critical for v1.1+ cadence.</w:t>
      </w:r>
    </w:p>
    <w:p>
      <w:pPr>
        <w:pStyle w:val="ListNumber"/>
      </w:pPr>
      <w:r>
        <w:t>Schedule quarterly usability study with panel operators (DDH stakeholders) to inform WCAG accessibility improvements for v1.1. v1.0 audit verified AA compliance; user feedback will identify enhancement opportunities for advanced workflows.</w:t>
      </w:r>
    </w:p>
    <w:p>
      <w:pPr>
        <w:pStyle w:val="ListNumber"/>
      </w:pPr>
      <w:r>
        <w:t>Red-team scope expansion for v1.1: include advanced autonomy governance scenarios (GCAP, Tempest policy enforcement). v1.0 red-team focused on core classification/audit security; v1.1 scope overlaps with new autonomous decision governance.</w:t>
      </w:r>
    </w:p>
    <w:p>
      <w:r>
        <w:br w:type="page"/>
      </w:r>
    </w:p>
    <w:p>
      <w:pPr>
        <w:pStyle w:val="Heading1"/>
      </w:pPr>
      <w:r>
        <w:t>Stakeholder Sign-off</w:t>
      </w:r>
    </w:p>
    <w:p>
      <w:r>
        <w:t>Release authorization requires sign-off from all five stakeholders below. This preliminary advice (Week 38) requires MAA Lead Inspector and CAA Chief approval. Final sign-off (Week 40) requires all signatures.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Stakeholder Role</w:t>
            </w:r>
          </w:p>
        </w:tc>
        <w:tc>
          <w:tcPr>
            <w:tcW w:type="dxa" w:w="2160"/>
          </w:tcPr>
          <w:p>
            <w:r>
              <w:t>Authorized Signatory</w:t>
            </w:r>
          </w:p>
        </w:tc>
        <w:tc>
          <w:tcPr>
            <w:tcW w:type="dxa" w:w="2160"/>
          </w:tcPr>
          <w:p>
            <w:r>
              <w:t>Signature / Approval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Workbench QA Lead</w:t>
            </w:r>
          </w:p>
        </w:tc>
        <w:tc>
          <w:tcPr>
            <w:tcW w:type="dxa" w:w="2160"/>
          </w:tcPr>
          <w:p>
            <w:r>
              <w:t>[QA Lead Name]</w:t>
            </w:r>
          </w:p>
        </w:tc>
        <w:tc>
          <w:tcPr>
            <w:tcW w:type="dxa" w:w="2160"/>
          </w:tcPr>
          <w:p>
            <w:r>
              <w:t>Approved (Week 38)</w:t>
            </w:r>
          </w:p>
        </w:tc>
        <w:tc>
          <w:tcPr>
            <w:tcW w:type="dxa" w:w="2160"/>
          </w:tcPr>
          <w:p>
            <w:r>
              <w:t>2026-10-22</w:t>
            </w:r>
          </w:p>
        </w:tc>
      </w:tr>
      <w:tr>
        <w:tc>
          <w:tcPr>
            <w:tcW w:type="dxa" w:w="2160"/>
          </w:tcPr>
          <w:p>
            <w:r>
              <w:t>Workbench Test Manager</w:t>
            </w:r>
          </w:p>
        </w:tc>
        <w:tc>
          <w:tcPr>
            <w:tcW w:type="dxa" w:w="2160"/>
          </w:tcPr>
          <w:p>
            <w:r>
              <w:t>[Test Manager Name]</w:t>
            </w:r>
          </w:p>
        </w:tc>
        <w:tc>
          <w:tcPr>
            <w:tcW w:type="dxa" w:w="2160"/>
          </w:tcPr>
          <w:p>
            <w:r>
              <w:t>Approved (Week 38)</w:t>
            </w:r>
          </w:p>
        </w:tc>
        <w:tc>
          <w:tcPr>
            <w:tcW w:type="dxa" w:w="2160"/>
          </w:tcPr>
          <w:p>
            <w:r>
              <w:t>2026-10-22</w:t>
            </w:r>
          </w:p>
        </w:tc>
      </w:tr>
      <w:tr>
        <w:tc>
          <w:tcPr>
            <w:tcW w:type="dxa" w:w="2160"/>
          </w:tcPr>
          <w:p>
            <w:r>
              <w:t>Workbench Product Owner</w:t>
            </w:r>
          </w:p>
        </w:tc>
        <w:tc>
          <w:tcPr>
            <w:tcW w:type="dxa" w:w="2160"/>
          </w:tcPr>
          <w:p>
            <w:r>
              <w:t>[PO Name]</w:t>
            </w:r>
          </w:p>
        </w:tc>
        <w:tc>
          <w:tcPr>
            <w:tcW w:type="dxa" w:w="2160"/>
          </w:tcPr>
          <w:p>
            <w:r>
              <w:t>[Pending Week 39]</w:t>
            </w:r>
          </w:p>
        </w:tc>
        <w:tc>
          <w:tcPr>
            <w:tcW w:type="dxa" w:w="2160"/>
          </w:tcPr>
          <w:p>
            <w:r>
              <w:t>[—]</w:t>
            </w:r>
          </w:p>
        </w:tc>
      </w:tr>
      <w:tr>
        <w:tc>
          <w:tcPr>
            <w:tcW w:type="dxa" w:w="2160"/>
          </w:tcPr>
          <w:p>
            <w:r>
              <w:t>MAA Lead Inspector</w:t>
            </w:r>
          </w:p>
        </w:tc>
        <w:tc>
          <w:tcPr>
            <w:tcW w:type="dxa" w:w="2160"/>
          </w:tcPr>
          <w:p>
            <w:r>
              <w:t>[Inspector Name]</w:t>
            </w:r>
          </w:p>
        </w:tc>
        <w:tc>
          <w:tcPr>
            <w:tcW w:type="dxa" w:w="2160"/>
          </w:tcPr>
          <w:p>
            <w:r>
              <w:t>Approved (Week 38)</w:t>
            </w:r>
          </w:p>
        </w:tc>
        <w:tc>
          <w:tcPr>
            <w:tcW w:type="dxa" w:w="2160"/>
          </w:tcPr>
          <w:p>
            <w:r>
              <w:t>2026-10-22</w:t>
            </w:r>
          </w:p>
        </w:tc>
      </w:tr>
      <w:tr>
        <w:tc>
          <w:tcPr>
            <w:tcW w:type="dxa" w:w="2160"/>
          </w:tcPr>
          <w:p>
            <w:r>
              <w:t>CAA Chief of Flight Operations (Innovation Hub)</w:t>
            </w:r>
          </w:p>
        </w:tc>
        <w:tc>
          <w:tcPr>
            <w:tcW w:type="dxa" w:w="2160"/>
          </w:tcPr>
          <w:p>
            <w:r>
              <w:t>[CAA Lead]</w:t>
            </w:r>
          </w:p>
        </w:tc>
        <w:tc>
          <w:tcPr>
            <w:tcW w:type="dxa" w:w="2160"/>
          </w:tcPr>
          <w:p>
            <w:r>
              <w:t>Approved (Week 38)</w:t>
            </w:r>
          </w:p>
        </w:tc>
        <w:tc>
          <w:tcPr>
            <w:tcW w:type="dxa" w:w="2160"/>
          </w:tcPr>
          <w:p>
            <w:r>
              <w:t>2026-10-22</w:t>
            </w:r>
          </w:p>
        </w:tc>
      </w:tr>
    </w:tbl>
    <w:p/>
    <w:p>
      <w:r>
        <w:t>Final sign-off block to be updated Week 40 upon satisfaction of three release conditions above.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OFFICIAL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