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&amp; Regulatory</w:t>
      </w:r>
    </w:p>
    <w:p>
      <w:pPr>
        <w:pStyle w:val="ListBullet"/>
      </w:pPr>
      <w:r>
        <w:t>CAP 722A: Verified</w:t>
      </w:r>
    </w:p>
    <w:p>
      <w:pPr>
        <w:pStyle w:val="ListBullet"/>
      </w:pPr>
      <w:r>
        <w:t>CAP 722B: Verified</w:t>
      </w:r>
    </w:p>
    <w:p>
      <w:pPr>
        <w:pStyle w:val="ListBullet"/>
      </w:pPr>
      <w:r>
        <w:t>JARUS SORA v2.5: Verified</w:t>
      </w:r>
    </w:p>
    <w:p>
      <w:pPr>
        <w:pStyle w:val="ListBullet"/>
      </w:pPr>
      <w:r>
        <w:t>DEFSTAN 00-970: Verified</w:t>
      </w:r>
    </w:p>
    <w:p>
      <w:pPr>
        <w:pStyle w:val="ListBullet"/>
      </w:pPr>
      <w:r>
        <w:t>DO-365: Verified</w:t>
      </w:r>
    </w:p>
    <w:p>
      <w:pPr>
        <w:pStyle w:val="ListBullet"/>
      </w:pPr>
      <w:r>
        <w:t>AMLAS: Verified</w:t>
      </w:r>
    </w:p>
    <w:p>
      <w:pPr>
        <w:pStyle w:val="ListBullet"/>
      </w:pPr>
      <w:r>
        <w:t>WCAG 2.2 AA: Verified</w:t>
      </w:r>
    </w:p>
    <w:p>
      <w:pPr>
        <w:pStyle w:val="ListBullet"/>
      </w:pPr>
      <w:r>
        <w:t>ISO 25010: Verified</w:t>
      </w:r>
    </w:p>
    <w:p>
      <w:pPr>
        <w:pStyle w:val="ListBullet"/>
      </w:pPr>
      <w:r>
        <w:t>ISO 27001: Verified</w:t>
      </w:r>
    </w:p>
    <w:p>
      <w:pPr>
        <w:pStyle w:val="ListBullet"/>
      </w:pPr>
      <w:r>
        <w:t>ISO 29119: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