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Environment Readiness</w:t>
      </w:r>
    </w:p>
    <w:p>
      <w:pPr>
        <w:pStyle w:val="ListBullet"/>
      </w:pPr>
      <w:r>
        <w:t>Compute resources: Pass</w:t>
      </w:r>
    </w:p>
    <w:p>
      <w:pPr>
        <w:pStyle w:val="ListBullet"/>
      </w:pPr>
      <w:r>
        <w:t>Storage provision: Pass</w:t>
      </w:r>
    </w:p>
    <w:p>
      <w:pPr>
        <w:pStyle w:val="ListBullet"/>
      </w:pPr>
      <w:r>
        <w:t>Network access: Pass</w:t>
      </w:r>
    </w:p>
    <w:p>
      <w:pPr>
        <w:pStyle w:val="ListBullet"/>
      </w:pPr>
      <w:r>
        <w:t>TLS certs: Pass</w:t>
      </w:r>
    </w:p>
    <w:p>
      <w:pPr>
        <w:pStyle w:val="ListBullet"/>
      </w:pPr>
      <w:r>
        <w:t>Classification tiers: Pass</w:t>
      </w:r>
    </w:p>
    <w:p>
      <w:pPr>
        <w:pStyle w:val="ListBullet"/>
      </w:pPr>
      <w:r>
        <w:t>Test fixtures: Pass</w:t>
      </w:r>
    </w:p>
    <w:p>
      <w:pPr>
        <w:pStyle w:val="ListBullet"/>
      </w:pPr>
      <w:r>
        <w:t>Data masking: Pass</w:t>
      </w:r>
    </w:p>
    <w:p>
      <w:pPr>
        <w:pStyle w:val="ListBullet"/>
      </w:pPr>
      <w:r>
        <w:t>Monitoring setup: Pass</w:t>
      </w:r>
    </w:p>
    <w:p>
      <w:pPr>
        <w:pStyle w:val="ListBullet"/>
      </w:pPr>
      <w:r>
        <w:t>Backup system: Pass</w:t>
      </w:r>
    </w:p>
    <w:p>
      <w:pPr>
        <w:pStyle w:val="ListBullet"/>
      </w:pPr>
      <w:r>
        <w:t>IdP integration: 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