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UAT Readiness Checklist</w:t>
      </w:r>
    </w:p>
    <w:p>
      <w:pPr>
        <w:pStyle w:val="ListBullet"/>
      </w:pPr>
      <w:r>
        <w:t>SIT completion: Pass</w:t>
      </w:r>
    </w:p>
    <w:p>
      <w:pPr>
        <w:pStyle w:val="ListBullet"/>
      </w:pPr>
      <w:r>
        <w:t>Critical defects: Zero</w:t>
      </w:r>
    </w:p>
    <w:p>
      <w:pPr>
        <w:pStyle w:val="ListBullet"/>
      </w:pPr>
      <w:r>
        <w:t>UAT env prod-like: Pass</w:t>
      </w:r>
    </w:p>
    <w:p>
      <w:pPr>
        <w:pStyle w:val="ListBullet"/>
      </w:pPr>
      <w:r>
        <w:t>Scotland fixture loaded: Pass</w:t>
      </w:r>
    </w:p>
    <w:p>
      <w:pPr>
        <w:pStyle w:val="ListBullet"/>
      </w:pPr>
      <w:r>
        <w:t>SORA fixture loaded: Pass</w:t>
      </w:r>
    </w:p>
    <w:p>
      <w:pPr>
        <w:pStyle w:val="ListBullet"/>
      </w:pPr>
      <w:r>
        <w:t>Panel training: In Progress</w:t>
      </w:r>
    </w:p>
    <w:p>
      <w:pPr>
        <w:pStyle w:val="ListBullet"/>
      </w:pPr>
      <w:r>
        <w:t>Applicant training: In Progress</w:t>
      </w:r>
    </w:p>
    <w:p>
      <w:pPr>
        <w:pStyle w:val="ListBullet"/>
      </w:pPr>
      <w:r>
        <w:t>Classification tiers: In Progress</w:t>
      </w:r>
    </w:p>
    <w:p>
      <w:pPr>
        <w:pStyle w:val="ListBullet"/>
      </w:pPr>
      <w:r>
        <w:t>IdP integration UAT: In Progress</w:t>
      </w:r>
    </w:p>
    <w:p>
      <w:pPr>
        <w:pStyle w:val="ListBullet"/>
      </w:pPr>
      <w:r>
        <w:t>Monitoring configured: In Progress</w:t>
      </w:r>
    </w:p>
    <w:p>
      <w:pPr>
        <w:pStyle w:val="ListBullet"/>
      </w:pPr>
      <w:r>
        <w:t>Incident runbooks: In Progress</w:t>
      </w:r>
    </w:p>
    <w:p>
      <w:pPr>
        <w:pStyle w:val="ListBullet"/>
      </w:pPr>
      <w:r>
        <w:t>Twin-sample baseline: Pass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