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Test Report — Workbench v1.0</w:t>
      </w:r>
    </w:p>
    <w:p>
      <w:r>
        <w:t>Classification: OFFICIAL</w:t>
      </w:r>
    </w:p>
    <w:p/>
    <w:p>
      <w:pPr>
        <w:pStyle w:val="Heading1"/>
      </w:pPr>
      <w:r>
        <w:t>Document Identification</w:t>
      </w:r>
    </w:p>
    <w:p>
      <w:r>
        <w:t>IEEE 29119-4 Final Test Report Template — to be populated at end of each release cycle.</w:t>
      </w:r>
    </w:p>
    <w:p>
      <w:pPr>
        <w:pStyle w:val="Heading1"/>
      </w:pPr>
      <w:r>
        <w:t>Executive Summary</w:t>
      </w:r>
    </w:p>
    <w:p>
      <w:r>
        <w:t>One-page summary of the test effort, coverage achieved, major findings, and release decision.</w:t>
      </w:r>
    </w:p>
    <w:p>
      <w:pPr>
        <w:pStyle w:val="Heading1"/>
      </w:pPr>
      <w:r>
        <w:t>Scope of Testing</w:t>
      </w:r>
    </w:p>
    <w:p>
      <w:r>
        <w:t>In/out scope from S_scope. Any deviations from MTP noted.</w:t>
      </w:r>
    </w:p>
    <w:p>
      <w:pPr>
        <w:pStyle w:val="Heading1"/>
      </w:pPr>
      <w:r>
        <w:t>Test Execution Results</w:t>
      </w:r>
    </w:p>
    <w:p>
      <w:pPr>
        <w:pStyle w:val="ListBullet"/>
      </w:pPr>
      <w:r>
        <w:t>Total test cases executed: X</w:t>
      </w:r>
    </w:p>
    <w:p>
      <w:pPr>
        <w:pStyle w:val="ListBullet"/>
      </w:pPr>
      <w:r>
        <w:t>Passed: X (Y%)</w:t>
      </w:r>
    </w:p>
    <w:p>
      <w:pPr>
        <w:pStyle w:val="ListBullet"/>
      </w:pPr>
      <w:r>
        <w:t>Failed: X (Y%)</w:t>
      </w:r>
    </w:p>
    <w:p>
      <w:pPr>
        <w:pStyle w:val="ListBullet"/>
      </w:pPr>
      <w:r>
        <w:t>Blocked: X (Y%)</w:t>
      </w:r>
    </w:p>
    <w:p>
      <w:pPr>
        <w:pStyle w:val="ListBullet"/>
      </w:pPr>
      <w:r>
        <w:t>Skipped: X (Y%)</w:t>
      </w:r>
    </w:p>
    <w:p>
      <w:pPr>
        <w:pStyle w:val="ListBullet"/>
      </w:pPr>
      <w:r>
        <w:t>Automation rate: X%</w:t>
      </w:r>
    </w:p>
    <w:p>
      <w:pPr>
        <w:pStyle w:val="Heading1"/>
      </w:pPr>
      <w:r>
        <w:t>Defect Summary</w:t>
      </w:r>
    </w:p>
    <w:p>
      <w:pPr>
        <w:pStyle w:val="ListBullet"/>
      </w:pPr>
      <w:r>
        <w:t>Critical: X found / Y resolved / Z open</w:t>
      </w:r>
    </w:p>
    <w:p>
      <w:pPr>
        <w:pStyle w:val="ListBullet"/>
      </w:pPr>
      <w:r>
        <w:t>Major: X found / Y resolved / Z open</w:t>
      </w:r>
    </w:p>
    <w:p>
      <w:pPr>
        <w:pStyle w:val="ListBullet"/>
      </w:pPr>
      <w:r>
        <w:t>Minor: X found / Y resolved / Z open</w:t>
      </w:r>
    </w:p>
    <w:p>
      <w:pPr>
        <w:pStyle w:val="ListBullet"/>
      </w:pPr>
      <w:r>
        <w:t>Defect density: X per KLOC</w:t>
      </w:r>
    </w:p>
    <w:p>
      <w:pPr>
        <w:pStyle w:val="ListBullet"/>
      </w:pPr>
      <w:r>
        <w:t>Mean time to fix (p50/p95): X h / Y h</w:t>
      </w:r>
    </w:p>
    <w:p>
      <w:pPr>
        <w:pStyle w:val="Heading1"/>
      </w:pPr>
      <w:r>
        <w:t>Coverage Achieved</w:t>
      </w:r>
    </w:p>
    <w:p>
      <w:pPr>
        <w:pStyle w:val="ListBullet"/>
      </w:pPr>
      <w:r>
        <w:t>REQ coverage: X/20</w:t>
      </w:r>
    </w:p>
    <w:p>
      <w:pPr>
        <w:pStyle w:val="ListBullet"/>
      </w:pPr>
      <w:r>
        <w:t>FR coverage: X/75</w:t>
      </w:r>
    </w:p>
    <w:p>
      <w:pPr>
        <w:pStyle w:val="ListBullet"/>
      </w:pPr>
      <w:r>
        <w:t>Keystone coverage: X/8 adequate</w:t>
      </w:r>
    </w:p>
    <w:p>
      <w:pPr>
        <w:pStyle w:val="ListBullet"/>
      </w:pPr>
      <w:r>
        <w:t>Gate coverage: X/12 passing</w:t>
      </w:r>
    </w:p>
    <w:p>
      <w:pPr>
        <w:pStyle w:val="Heading1"/>
      </w:pPr>
      <w:r>
        <w:t>Residual Risks</w:t>
      </w:r>
    </w:p>
    <w:p>
      <w:r>
        <w:t>Document each Class A risk with residual status; each must have formal acceptance by MAA Lead Inspector if not fully mitigated.</w:t>
      </w:r>
    </w:p>
    <w:p>
      <w:pPr>
        <w:pStyle w:val="Heading1"/>
      </w:pPr>
      <w:r>
        <w:t>Lessons Learned</w:t>
      </w:r>
    </w:p>
    <w:p>
      <w:r>
        <w:t>What worked. What did not. What to improve next cycle.</w:t>
      </w:r>
    </w:p>
    <w:p>
      <w:pPr>
        <w:pStyle w:val="Heading1"/>
      </w:pPr>
      <w:r>
        <w:t>Recommendations</w:t>
      </w:r>
    </w:p>
    <w:p>
      <w:r>
        <w:t>Carry-forward items, deferred work, follow-up actions with owners.</w:t>
      </w:r>
    </w:p>
    <w:p>
      <w:pPr>
        <w:pStyle w:val="Heading1"/>
      </w:pPr>
      <w:r>
        <w:t>Sign-offs</w:t>
      </w:r>
    </w:p>
    <w:p>
      <w:r>
        <w:t>MAA Lead Inspector / CAA Innovation Hub / Workbench Product Owner / DDH / RAISO.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