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Response Playbook — CAA/MAA Workbench</w:t>
      </w:r>
    </w:p>
    <w:p>
      <w:r>
        <w:t>Classification: OFFICIAL</w:t>
      </w:r>
    </w:p>
    <w:p/>
    <w:p>
      <w:pPr>
        <w:pStyle w:val="Heading1"/>
      </w:pPr>
      <w:r>
        <w:t>Purpose</w:t>
      </w:r>
    </w:p>
    <w:p>
      <w:r>
        <w:t>This playbook governs the response to production incidents affecting the CAA/MAA Joint Approval Workbench. It is mandatory for all on-call operators and applies at all classification tiers.</w:t>
      </w:r>
    </w:p>
    <w:p>
      <w:pPr>
        <w:pStyle w:val="Heading1"/>
      </w:pPr>
      <w:r>
        <w:t>Severity Classification</w:t>
      </w:r>
    </w:p>
    <w:p>
      <w:pPr>
        <w:pStyle w:val="Heading2"/>
      </w:pPr>
      <w:r>
        <w:t>SEV-1 (critical)</w:t>
      </w:r>
    </w:p>
    <w:p>
      <w:r>
        <w:t>Decision record corruption or loss; classification boundary breach; audit ledger integrity violation; twin-sample regression fails in production.</w:t>
      </w:r>
    </w:p>
    <w:p>
      <w:pPr>
        <w:pStyle w:val="Heading2"/>
      </w:pPr>
      <w:r>
        <w:t>SEV-2 (major)</w:t>
      </w:r>
    </w:p>
    <w:p>
      <w:r>
        <w:t>Coverage matrix SLA breach (p95 &gt;10 min sustained); panel action log p95 &gt;500 ms sustained; AI flag narrative unavailable; single classification tier down while others healthy.</w:t>
      </w:r>
    </w:p>
    <w:p>
      <w:pPr>
        <w:pStyle w:val="Heading2"/>
      </w:pPr>
      <w:r>
        <w:t>SEV-3 (minor)</w:t>
      </w:r>
    </w:p>
    <w:p>
      <w:r>
        <w:t>Non-blocking UI issues; single applicant workspace issue; transient errors resolved by retry.</w:t>
      </w:r>
    </w:p>
    <w:p>
      <w:pPr>
        <w:pStyle w:val="Heading1"/>
      </w:pPr>
      <w:r>
        <w:t>Response SLA</w:t>
      </w:r>
    </w:p>
    <w:p>
      <w:pPr>
        <w:pStyle w:val="ListBullet"/>
      </w:pPr>
      <w:r>
        <w:t>SEV-1 — triage within 15 min, mitigation within 1 h, RCA within 24 h</w:t>
      </w:r>
    </w:p>
    <w:p>
      <w:pPr>
        <w:pStyle w:val="ListBullet"/>
      </w:pPr>
      <w:r>
        <w:t>SEV-2 — triage within 1 h, mitigation within 4 h, RCA within 72 h</w:t>
      </w:r>
    </w:p>
    <w:p>
      <w:pPr>
        <w:pStyle w:val="ListBullet"/>
      </w:pPr>
      <w:r>
        <w:t>SEV-3 — triage within 4 h, mitigation within 48 h, RCA at quarterly review</w:t>
      </w:r>
    </w:p>
    <w:p>
      <w:pPr>
        <w:pStyle w:val="Heading1"/>
      </w:pPr>
      <w:r>
        <w:t>Escalation Chain</w:t>
      </w:r>
    </w:p>
    <w:p>
      <w:r>
        <w:t>QA Lead on-call → Workbench Test Manager → Product Owner → MAA Lead Inspector → MAA Regulator (for SEV-1).</w:t>
      </w:r>
    </w:p>
    <w:p>
      <w:pPr>
        <w:pStyle w:val="Heading1"/>
      </w:pPr>
      <w:r>
        <w:t>Immediate Actions (all severities)</w:t>
      </w:r>
    </w:p>
    <w:p>
      <w:pPr>
        <w:pStyle w:val="ListBullet"/>
      </w:pPr>
      <w:r>
        <w:t>Acknowledge incident in on-call system within SLA</w:t>
      </w:r>
    </w:p>
    <w:p>
      <w:pPr>
        <w:pStyle w:val="ListBullet"/>
      </w:pPr>
      <w:r>
        <w:t>Open incident channel (Slack/Teams classification-tier appropriate)</w:t>
      </w:r>
    </w:p>
    <w:p>
      <w:pPr>
        <w:pStyle w:val="ListBullet"/>
      </w:pPr>
      <w:r>
        <w:t>Begin evidence preservation: capture logs, audit ledger snapshot, component state</w:t>
      </w:r>
    </w:p>
    <w:p>
      <w:pPr>
        <w:pStyle w:val="ListBullet"/>
      </w:pPr>
      <w:r>
        <w:t>Do not modify production state without Test Manager authorisation</w:t>
      </w:r>
    </w:p>
    <w:p>
      <w:pPr>
        <w:pStyle w:val="ListBullet"/>
      </w:pPr>
      <w:r>
        <w:t>For classification-tier events: two-person review before any remediation</w:t>
      </w:r>
    </w:p>
    <w:p>
      <w:pPr>
        <w:pStyle w:val="Heading1"/>
      </w:pPr>
      <w:r>
        <w:t>SEV-1 Specific — Classification Boundary Breach</w:t>
      </w:r>
    </w:p>
    <w:p>
      <w:pPr>
        <w:pStyle w:val="ListBullet"/>
      </w:pPr>
      <w:r>
        <w:t>Immediately isolate the suspected tier via emergency tier-kill runbook</w:t>
      </w:r>
    </w:p>
    <w:p>
      <w:pPr>
        <w:pStyle w:val="ListBullet"/>
      </w:pPr>
      <w:r>
        <w:t>Notify MOD Security Custodian + CAA CISO within 15 min</w:t>
      </w:r>
    </w:p>
    <w:p>
      <w:pPr>
        <w:pStyle w:val="ListBullet"/>
      </w:pPr>
      <w:r>
        <w:t>Preserve all cross-tier access logs; do not delete</w:t>
      </w:r>
    </w:p>
    <w:p>
      <w:pPr>
        <w:pStyle w:val="ListBullet"/>
      </w:pPr>
      <w:r>
        <w:t>Engage two-person access for any remediation action</w:t>
      </w:r>
    </w:p>
    <w:p>
      <w:pPr>
        <w:pStyle w:val="ListBullet"/>
      </w:pPr>
      <w:r>
        <w:t>Prepare preliminary report for MAA Regulator within 24 h</w:t>
      </w:r>
    </w:p>
    <w:p>
      <w:pPr>
        <w:pStyle w:val="Heading1"/>
      </w:pPr>
      <w:r>
        <w:t>Communications</w:t>
      </w:r>
    </w:p>
    <w:p>
      <w:r>
        <w:t>SEV-1 status updates every 15 min to stakeholders until mitigated. Public comms via CAA Innovation Hub only; never by incident responders directly.</w:t>
      </w:r>
    </w:p>
    <w:p>
      <w:pPr>
        <w:pStyle w:val="Heading1"/>
      </w:pPr>
      <w:r>
        <w:t>Post-incident</w:t>
      </w:r>
    </w:p>
    <w:p>
      <w:r>
        <w:t>Blameless post-incident review within 5 working days. RCA document filed. If classification or safety impact: report to Defence Aviation Safety Board and AAIB as appropriate.</w:t>
      </w:r>
    </w:p>
    <w:p>
      <w:pPr>
        <w:pStyle w:val="Heading1"/>
      </w:pPr>
      <w:r>
        <w:t>Sign-off</w:t>
      </w:r>
    </w:p>
    <w:p>
      <w:r>
        <w:t>Playbook reviewed annually; named owner: Workbench Test Manager. Accepted by: [MAA Lead Inspector signature] [Product Owner signature] [CAA CISO signature].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